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right"/>
        <w:rPr>
          <w:b/>
          <w:bCs/>
          <w:color w:val="000000"/>
          <w:sz w:val="24"/>
          <w:szCs w:val="24"/>
        </w:rPr>
      </w:pPr>
      <w:r>
        <w:rPr>
          <w:b/>
          <w:bCs/>
          <w:color w:val="000000"/>
          <w:sz w:val="24"/>
          <w:szCs w:val="24"/>
        </w:rPr>
      </w:r>
    </w:p>
    <w:p>
      <w:pPr>
        <w:pStyle w:val="Normal"/>
        <w:shd w:val="clear" w:color="auto" w:fill="FFFFFF"/>
        <w:tabs>
          <w:tab w:val="clear" w:pos="709"/>
          <w:tab w:val="left" w:pos="3148" w:leader="none"/>
          <w:tab w:val="center" w:pos="4818" w:leader="none"/>
          <w:tab w:val="left" w:pos="6926" w:leader="none"/>
        </w:tabs>
        <w:spacing w:lineRule="auto" w:line="240"/>
        <w:ind w:hanging="0"/>
        <w:jc w:val="center"/>
        <w:rPr>
          <w:b/>
          <w:bCs/>
          <w:color w:val="000000"/>
          <w:sz w:val="24"/>
          <w:szCs w:val="24"/>
        </w:rPr>
      </w:pPr>
      <w:r>
        <w:rPr>
          <w:b/>
          <w:bCs/>
          <w:color w:val="000000"/>
          <w:sz w:val="24"/>
          <w:szCs w:val="24"/>
        </w:rPr>
        <w:t xml:space="preserve">Договор подряда </w:t>
      </w:r>
    </w:p>
    <w:p>
      <w:pPr>
        <w:pStyle w:val="Normal"/>
        <w:shd w:val="clear" w:color="auto" w:fill="FFFFFF"/>
        <w:tabs>
          <w:tab w:val="clear" w:pos="709"/>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 xml:space="preserve">на выполнение </w:t>
      </w:r>
      <w:bookmarkStart w:id="0" w:name="_GoBack"/>
      <w:r>
        <w:rPr>
          <w:b/>
          <w:bCs/>
          <w:color w:val="000000"/>
          <w:sz w:val="24"/>
          <w:szCs w:val="24"/>
        </w:rPr>
        <w:t>проект</w:t>
      </w:r>
      <w:bookmarkEnd w:id="0"/>
      <w:r>
        <w:rPr>
          <w:b/>
          <w:bCs/>
          <w:color w:val="000000"/>
          <w:sz w:val="24"/>
          <w:szCs w:val="24"/>
        </w:rPr>
        <w:t>ных работ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9"/>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 xml:space="preserve">Публичное </w:t>
      </w:r>
      <w:r>
        <w:rPr>
          <w:b/>
          <w:color w:val="auto"/>
        </w:rPr>
        <w:t xml:space="preserve">акционерное общество «Федеральная гидрогенерирующая компания </w:t>
      </w:r>
      <w:r>
        <w:rPr>
          <w:b/>
          <w:color w:val="auto"/>
          <w:lang w:val="ru-RU"/>
        </w:rPr>
        <w:t>–</w:t>
      </w:r>
      <w:r>
        <w:rPr>
          <w:b/>
          <w:color w:val="auto"/>
        </w:rPr>
        <w:t xml:space="preserve"> РусГидро» </w:t>
      </w:r>
      <w:r>
        <w:rPr>
          <w:color w:val="auto"/>
        </w:rPr>
        <w:t>(</w:t>
      </w:r>
      <w:r>
        <w:rPr>
          <w:color w:val="auto"/>
          <w:lang w:val="ru-RU"/>
        </w:rPr>
        <w:t>П</w:t>
      </w:r>
      <w:r>
        <w:rPr>
          <w:color w:val="auto"/>
        </w:rPr>
        <w:t xml:space="preserve">АО «РусГидро»)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совместно в дальнейшем именуемые «Стороны», а по отдельности – «Сторона», по результатам проведенно</w:t>
      </w:r>
      <w:r>
        <w:rPr>
          <w:color w:val="auto"/>
          <w:lang w:val="ru-RU"/>
        </w:rPr>
        <w:t>го</w:t>
      </w:r>
      <w:r>
        <w:rPr>
          <w:color w:val="auto"/>
        </w:rPr>
        <w:t xml:space="preserve"> Заказчиком </w:t>
      </w:r>
      <w:r>
        <w:rPr>
          <w:color w:val="auto"/>
          <w:lang w:val="ru-RU"/>
        </w:rPr>
        <w:t>состязательного отбора</w:t>
      </w:r>
      <w:r>
        <w:rPr>
          <w:color w:val="auto"/>
        </w:rPr>
        <w:t xml:space="preserve"> по лоту №00</w:t>
      </w:r>
      <w:r>
        <w:rPr>
          <w:color w:val="auto"/>
          <w:lang w:val="ru-RU"/>
        </w:rPr>
        <w:t>56-ТПиР-ПИР-2026-КамГЭС</w:t>
      </w:r>
      <w:r>
        <w:rPr>
          <w:bCs/>
          <w:color w:val="auto"/>
        </w:rPr>
        <w:t>,</w:t>
      </w:r>
      <w:r>
        <w:rPr/>
        <w:t xml:space="preserve"> </w:t>
      </w:r>
      <w:r>
        <w:rPr>
          <w:color w:val="auto"/>
          <w:lang w:val="ru-RU"/>
        </w:rPr>
        <w:t>и</w:t>
      </w:r>
      <w:r>
        <w:rPr>
          <w:lang w:val="ru-RU"/>
        </w:rPr>
        <w:t xml:space="preserve"> </w:t>
      </w:r>
      <w:r>
        <w:rPr>
          <w:bCs/>
          <w:color w:val="auto"/>
        </w:rPr>
        <w:t xml:space="preserve">на основании Протокола о результатах </w:t>
      </w:r>
      <w:r>
        <w:rPr>
          <w:bCs/>
          <w:color w:val="auto"/>
          <w:lang w:val="ru-RU"/>
        </w:rPr>
        <w:t>__________</w:t>
      </w:r>
      <w:r>
        <w:rPr>
          <w:bCs/>
          <w:color w:val="auto"/>
        </w:rPr>
        <w:t xml:space="preserve"> №_______ от «___»__________ года</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ListParagraph"/>
        <w:shd w:val="clear" w:color="auto" w:fill="FFFFFF"/>
        <w:tabs>
          <w:tab w:val="clear" w:pos="709"/>
          <w:tab w:val="left" w:pos="284" w:leader="none"/>
        </w:tabs>
        <w:ind w:left="0" w:hanging="0"/>
        <w:jc w:val="center"/>
        <w:rPr>
          <w:b/>
          <w:bCs/>
        </w:rPr>
      </w:pPr>
      <w:r>
        <w:rPr>
          <w:b/>
          <w:bCs/>
        </w:rPr>
      </w:r>
    </w:p>
    <w:p>
      <w:pPr>
        <w:pStyle w:val="ListParagraph"/>
        <w:shd w:val="clear" w:color="auto" w:fill="FFFFFF"/>
        <w:tabs>
          <w:tab w:val="clear" w:pos="709"/>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«Банковская гарантия»</w:t>
      </w:r>
      <w:r>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«ГПЗУ» </w:t>
      </w:r>
      <w:r>
        <w:rPr>
          <w:lang w:eastAsia="en-US"/>
        </w:rPr>
        <w:t>– градостроительный план земельного участка.</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numPr>
          <w:ilvl w:val="0"/>
        </w:numPr>
        <w:suppressAutoHyphens w:val="false"/>
        <w:spacing w:lineRule="auto" w:line="240" w:before="0" w:after="0"/>
        <w:ind w:firstLine="567"/>
        <w:jc w:val="both"/>
        <w:rPr/>
      </w:pPr>
      <w:r>
        <w:rPr>
          <w:rFonts w:eastAsia="Times New Roman" w:cs="Times New Roman"/>
          <w:b/>
          <w:sz w:val="24"/>
          <w:szCs w:val="24"/>
          <w:lang w:eastAsia="ru-RU"/>
        </w:rPr>
        <w:t xml:space="preserve">«Универсальный передаточный документ (УПД)» – </w:t>
      </w:r>
      <w:r>
        <w:rPr>
          <w:rFonts w:eastAsia="Times New Roman" w:cs="Times New Roman"/>
          <w:b w:val="false"/>
          <w:bCs w:val="false"/>
          <w:sz w:val="24"/>
          <w:szCs w:val="24"/>
          <w:lang w:eastAsia="ru-RU"/>
        </w:rPr>
        <w:t>форма документа, рекомендованная для применения письмом ФНС России от 21.10.2013 № ММВ-20-3/96@ (</w:t>
      </w:r>
      <w:r>
        <w:rPr>
          <w:rFonts w:cs="Times New Roman"/>
          <w:b w:val="false"/>
          <w:bCs w:val="false"/>
          <w:sz w:val="24"/>
          <w:szCs w:val="24"/>
          <w:lang w:eastAsia="en-US"/>
        </w:rPr>
        <w:t xml:space="preserve">объединяет реквизиты </w:t>
      </w:r>
      <w:hyperlink r:id="rId2">
        <w:r>
          <w:rPr>
            <w:rStyle w:val="Hyperlink"/>
            <w:rFonts w:cs="Times New Roman"/>
            <w:b w:val="false"/>
            <w:bCs w:val="false"/>
            <w:color w:val="000000"/>
            <w:sz w:val="24"/>
            <w:szCs w:val="24"/>
            <w:u w:val="none"/>
            <w:lang w:eastAsia="en-US"/>
          </w:rPr>
          <w:t>счета-фактуры</w:t>
        </w:r>
      </w:hyperlink>
      <w:r>
        <w:rPr>
          <w:rFonts w:cs="Times New Roman"/>
          <w:b w:val="false"/>
          <w:bCs w:val="false"/>
          <w:color w:val="000000"/>
          <w:sz w:val="24"/>
          <w:szCs w:val="24"/>
          <w:lang w:eastAsia="en-US"/>
        </w:rPr>
        <w:t xml:space="preserve"> и </w:t>
      </w:r>
      <w:hyperlink r:id="rId3">
        <w:r>
          <w:rPr>
            <w:rStyle w:val="Hyperlink"/>
            <w:rFonts w:cs="Times New Roman"/>
            <w:b w:val="false"/>
            <w:bCs w:val="false"/>
            <w:color w:val="000000"/>
            <w:sz w:val="24"/>
            <w:szCs w:val="24"/>
            <w:u w:val="none"/>
            <w:lang w:eastAsia="en-US"/>
          </w:rPr>
          <w:t>первичного документа</w:t>
        </w:r>
      </w:hyperlink>
      <w:r>
        <w:rPr>
          <w:rFonts w:cs="Times New Roman"/>
          <w:b w:val="false"/>
          <w:bCs w:val="false"/>
          <w:sz w:val="24"/>
          <w:szCs w:val="24"/>
          <w:lang w:eastAsia="en-US"/>
        </w:rPr>
        <w:t xml:space="preserve"> о передаче товаров, работ, услуг).</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 </w:t>
      </w: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pPr>
        <w:pStyle w:val="Heading3"/>
        <w:keepNext w:val="false"/>
        <w:widowControl w:val="false"/>
        <w:tabs>
          <w:tab w:val="clear" w:pos="709"/>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9"/>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sz w:val="24"/>
          <w:szCs w:val="24"/>
          <w:lang w:eastAsia="en-US"/>
        </w:rPr>
      </w:pPr>
      <w:r>
        <w:rPr>
          <w:b/>
          <w:sz w:val="24"/>
          <w:szCs w:val="24"/>
          <w:lang w:eastAsia="en-US"/>
        </w:rPr>
        <w:t xml:space="preserve"> </w:t>
      </w: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pPr>
        <w:pStyle w:val="ListParagraph"/>
        <w:widowControl w:val="false"/>
        <w:numPr>
          <w:ilvl w:val="0"/>
          <w:numId w:val="7"/>
        </w:numPr>
        <w:shd w:val="clear" w:color="auto" w:fill="FFFFFF"/>
        <w:tabs>
          <w:tab w:val="clear" w:pos="709"/>
          <w:tab w:val="left" w:pos="567" w:leader="none"/>
          <w:tab w:val="left" w:pos="1134" w:leader="none"/>
        </w:tabs>
        <w:ind w:left="0" w:firstLine="708"/>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shd w:val="clear" w:color="auto" w:fill="FFFFFF"/>
        <w:tabs>
          <w:tab w:val="clear" w:pos="709"/>
          <w:tab w:val="left" w:pos="567" w:leader="none"/>
          <w:tab w:val="left" w:pos="1134" w:leader="none"/>
        </w:tabs>
        <w:ind w:left="0" w:firstLine="708"/>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shd w:val="clear" w:color="auto" w:fill="FFFFFF"/>
        <w:tabs>
          <w:tab w:val="clear" w:pos="709"/>
          <w:tab w:val="left" w:pos="567" w:leader="none"/>
          <w:tab w:val="left" w:pos="1134" w:leader="none"/>
        </w:tabs>
        <w:ind w:left="0" w:firstLine="708"/>
        <w:jc w:val="both"/>
        <w:textAlignment w:val="baseline"/>
        <w:rPr>
          <w:lang w:eastAsia="en-US"/>
        </w:rPr>
      </w:pPr>
      <w:r>
        <w:rPr>
          <w:lang w:eastAsia="en-US"/>
        </w:rPr>
        <w:t>сметную документацию.</w:t>
      </w:r>
    </w:p>
    <w:p>
      <w:pPr>
        <w:pStyle w:val="Normal"/>
        <w:widowControl w:val="false"/>
        <w:tabs>
          <w:tab w:val="clear" w:pos="709"/>
          <w:tab w:val="left" w:pos="567" w:leader="none"/>
        </w:tabs>
        <w:spacing w:lineRule="auto" w:line="240"/>
        <w:ind w:firstLine="708"/>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или Рабочая документация или иной результат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«Смета»</w:t>
      </w:r>
      <w:r>
        <w:rPr>
          <w:b w:val="false"/>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«Сводная смета»</w:t>
      </w:r>
      <w:r>
        <w:rPr>
          <w:b w:val="false"/>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Normal"/>
        <w:spacing w:lineRule="auto" w:line="240"/>
        <w:ind w:firstLine="708"/>
        <w:rPr>
          <w:sz w:val="24"/>
          <w:szCs w:val="24"/>
          <w:lang w:val="x-none" w:eastAsia="en-US"/>
        </w:rPr>
      </w:pPr>
      <w:r>
        <w:rPr>
          <w:b/>
          <w:sz w:val="24"/>
          <w:szCs w:val="24"/>
          <w:lang w:eastAsia="en-US"/>
        </w:rPr>
        <w:t xml:space="preserve"> </w:t>
      </w: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r>
    </w:p>
    <w:p>
      <w:pPr>
        <w:pStyle w:val="Normal"/>
        <w:spacing w:lineRule="auto" w:line="240"/>
        <w:rPr>
          <w:sz w:val="24"/>
          <w:szCs w:val="24"/>
          <w:lang w:val="x-none" w:eastAsia="x-none"/>
        </w:rPr>
      </w:pPr>
      <w:r>
        <w:rPr>
          <w:sz w:val="24"/>
          <w:szCs w:val="24"/>
          <w:lang w:val="x-none" w:eastAsia="x-none"/>
        </w:rPr>
      </w:r>
    </w:p>
    <w:p>
      <w:pPr>
        <w:pStyle w:val="ListParagraph"/>
        <w:numPr>
          <w:ilvl w:val="0"/>
          <w:numId w:val="4"/>
        </w:numPr>
        <w:shd w:val="clear" w:color="auto" w:fill="FFFFFF"/>
        <w:tabs>
          <w:tab w:val="clear" w:pos="709"/>
          <w:tab w:val="left" w:pos="284" w:leader="none"/>
        </w:tabs>
        <w:ind w:left="0" w:hanging="0"/>
        <w:jc w:val="center"/>
        <w:rPr>
          <w:b/>
          <w:bCs/>
        </w:rPr>
      </w:pPr>
      <w:r>
        <w:rPr>
          <w:b/>
          <w:bCs/>
        </w:rPr>
        <w:t>Предмет Договора</w:t>
      </w:r>
    </w:p>
    <w:p>
      <w:pPr>
        <w:pStyle w:val="ListParagraph"/>
        <w:numPr>
          <w:ilvl w:val="1"/>
          <w:numId w:val="4"/>
        </w:numPr>
        <w:shd w:val="clear" w:color="auto" w:fill="FFFFFF"/>
        <w:tabs>
          <w:tab w:val="clear" w:pos="709"/>
          <w:tab w:val="left" w:pos="1134" w:leader="none"/>
        </w:tabs>
        <w:ind w:left="0" w:firstLine="709"/>
        <w:jc w:val="both"/>
        <w:rPr>
          <w:bCs/>
        </w:rPr>
      </w:pPr>
      <w:bookmarkStart w:id="1"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r>
        <w:rPr>
          <w:bCs/>
          <w:i/>
        </w:rPr>
        <w:t>разработке проектной, рабочей и сметной документации по строительству площадки для накопления лома металлов на Камской ГЭС в рамках выполнения инвестиционного проекта  P_T-1180-081</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pPr>
        <w:pStyle w:val="ListParagraph"/>
        <w:numPr>
          <w:ilvl w:val="1"/>
          <w:numId w:val="4"/>
        </w:numPr>
        <w:shd w:val="clear" w:color="auto" w:fill="FFFFFF"/>
        <w:tabs>
          <w:tab w:val="clear" w:pos="709"/>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9"/>
          <w:tab w:val="left" w:pos="1418" w:leader="none"/>
        </w:tabs>
        <w:ind w:left="0" w:firstLine="709"/>
        <w:jc w:val="both"/>
        <w:rPr>
          <w:bCs/>
        </w:rPr>
      </w:pPr>
      <w:r>
        <w:rPr>
          <w:bCs/>
          <w:lang w:val="en-US"/>
        </w:rPr>
        <w:t>Инженерные изыскания</w:t>
      </w:r>
      <w:r>
        <w:rPr>
          <w:bCs/>
        </w:rPr>
        <w:t>;</w:t>
      </w:r>
    </w:p>
    <w:p>
      <w:pPr>
        <w:pStyle w:val="ListParagraph"/>
        <w:numPr>
          <w:ilvl w:val="2"/>
          <w:numId w:val="4"/>
        </w:numPr>
        <w:shd w:val="clear" w:color="auto" w:fill="FFFFFF"/>
        <w:tabs>
          <w:tab w:val="clear" w:pos="709"/>
        </w:tabs>
        <w:ind w:left="0" w:firstLine="709"/>
        <w:jc w:val="both"/>
        <w:rPr>
          <w:bCs/>
        </w:rPr>
      </w:pPr>
      <w:r>
        <w:rPr/>
        <w:t>Предпроектное обследование. Разработка и согласование с заказчиком технического задания (ТЗ) на проектирование по результатам предпроектного обследования;</w:t>
      </w:r>
    </w:p>
    <w:p>
      <w:pPr>
        <w:pStyle w:val="ListParagraph"/>
        <w:numPr>
          <w:ilvl w:val="2"/>
          <w:numId w:val="4"/>
        </w:numPr>
        <w:shd w:val="clear" w:color="auto" w:fill="FFFFFF"/>
        <w:tabs>
          <w:tab w:val="clear" w:pos="709"/>
        </w:tabs>
        <w:ind w:left="0" w:firstLine="709"/>
        <w:jc w:val="both"/>
        <w:rPr>
          <w:bCs/>
        </w:rPr>
      </w:pPr>
      <w:r>
        <w:rPr>
          <w:bCs/>
        </w:rPr>
        <w:t>Разработка Проектной документации. Согласование с Заказчиком;</w:t>
      </w:r>
    </w:p>
    <w:p>
      <w:pPr>
        <w:pStyle w:val="ListParagraph"/>
        <w:numPr>
          <w:ilvl w:val="2"/>
          <w:numId w:val="4"/>
        </w:numPr>
        <w:shd w:val="clear" w:color="auto" w:fill="FFFFFF"/>
        <w:tabs>
          <w:tab w:val="clear" w:pos="709"/>
        </w:tabs>
        <w:ind w:left="0" w:firstLine="709"/>
        <w:jc w:val="both"/>
        <w:rPr>
          <w:bCs/>
        </w:rPr>
      </w:pPr>
      <w:r>
        <w:rPr>
          <w:bCs/>
        </w:rPr>
        <w:t>Оценка воздействия на водные биологические ресурсы р. Кама и среду их обитания при выполнении работ по строительству площадки для накопления лома металлов;</w:t>
      </w:r>
    </w:p>
    <w:p>
      <w:pPr>
        <w:pStyle w:val="ListParagraph"/>
        <w:numPr>
          <w:ilvl w:val="2"/>
          <w:numId w:val="4"/>
        </w:numPr>
        <w:shd w:val="clear" w:color="auto" w:fill="FFFFFF"/>
        <w:tabs>
          <w:tab w:val="clear" w:pos="709"/>
        </w:tabs>
        <w:ind w:left="0" w:firstLine="709"/>
        <w:jc w:val="both"/>
        <w:rPr>
          <w:bCs/>
        </w:rPr>
      </w:pPr>
      <w:r>
        <w:rPr>
          <w:bCs/>
        </w:rPr>
        <w:t>Сопровождение при согласовании Заказчиком проектной документации в Волго-Камском территориальном управлении Федерального агентства по рыболовству;</w:t>
      </w:r>
    </w:p>
    <w:p>
      <w:pPr>
        <w:pStyle w:val="ListParagraph"/>
        <w:numPr>
          <w:ilvl w:val="2"/>
          <w:numId w:val="4"/>
        </w:numPr>
        <w:shd w:val="clear" w:color="auto" w:fill="FFFFFF"/>
        <w:tabs>
          <w:tab w:val="clear" w:pos="709"/>
        </w:tabs>
        <w:ind w:left="0" w:firstLine="709"/>
        <w:jc w:val="both"/>
        <w:rPr>
          <w:bCs/>
        </w:rPr>
      </w:pPr>
      <w:r>
        <w:rPr>
          <w:bCs/>
        </w:rPr>
        <w:t>Разработка Рабочей и сметной документации;</w:t>
      </w:r>
    </w:p>
    <w:p>
      <w:pPr>
        <w:pStyle w:val="ListParagraph"/>
        <w:numPr>
          <w:ilvl w:val="2"/>
          <w:numId w:val="4"/>
        </w:numPr>
        <w:shd w:val="clear" w:color="auto" w:fill="FFFFFF"/>
        <w:tabs>
          <w:tab w:val="clear" w:pos="709"/>
        </w:tabs>
        <w:ind w:left="0" w:firstLine="709"/>
        <w:jc w:val="both"/>
        <w:rPr>
          <w:bCs/>
        </w:rPr>
      </w:pPr>
      <w:r>
        <w:rPr/>
        <w:t>Разработка проекта организации строительства;</w:t>
      </w:r>
    </w:p>
    <w:p>
      <w:pPr>
        <w:pStyle w:val="ListParagraph"/>
        <w:numPr>
          <w:ilvl w:val="2"/>
          <w:numId w:val="4"/>
        </w:numPr>
        <w:shd w:val="clear" w:color="auto" w:fill="FFFFFF"/>
        <w:tabs>
          <w:tab w:val="clear" w:pos="709"/>
        </w:tabs>
        <w:ind w:left="0" w:firstLine="709"/>
        <w:jc w:val="both"/>
        <w:rPr>
          <w:bCs/>
        </w:rPr>
      </w:pPr>
      <w:r>
        <w:rPr>
          <w:bCs/>
        </w:rPr>
        <w:t>Согласование проектной, рабочей и сметной документации в целом на научно-техническом совете (НТС) Заказчика.</w:t>
      </w:r>
    </w:p>
    <w:p>
      <w:pPr>
        <w:pStyle w:val="ListParagraph"/>
        <w:numPr>
          <w:ilvl w:val="1"/>
          <w:numId w:val="22"/>
        </w:numPr>
        <w:shd w:val="clear" w:color="auto" w:fill="FFFFFF"/>
        <w:tabs>
          <w:tab w:val="clear" w:pos="709"/>
          <w:tab w:val="left" w:pos="1134"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Работы по Договору выполняются для нужд филиала ПАО «РусГидро»-«Камская ГЭС». </w:t>
      </w:r>
    </w:p>
    <w:p>
      <w:pPr>
        <w:pStyle w:val="ListParagraph"/>
        <w:numPr>
          <w:ilvl w:val="1"/>
          <w:numId w:val="22"/>
        </w:numPr>
        <w:shd w:val="clear" w:color="auto" w:fill="FFFFFF"/>
        <w:tabs>
          <w:tab w:val="clear" w:pos="709"/>
          <w:tab w:val="left" w:pos="1134" w:leader="none"/>
        </w:tabs>
        <w:ind w:left="0" w:firstLine="709"/>
        <w:jc w:val="both"/>
        <w:rPr>
          <w:bCs/>
        </w:rPr>
      </w:pPr>
      <w:bookmarkStart w:id="2" w:name="_Ref361320424"/>
      <w:r>
        <w:rPr>
          <w:bCs/>
        </w:rPr>
        <w:t>Работы выполняются Подрядчиком в следующие сроки:</w:t>
      </w:r>
      <w:bookmarkEnd w:id="2"/>
    </w:p>
    <w:p>
      <w:pPr>
        <w:pStyle w:val="ListParagraph"/>
        <w:numPr>
          <w:ilvl w:val="2"/>
          <w:numId w:val="22"/>
        </w:numPr>
        <w:shd w:val="clear" w:color="auto" w:fill="FFFFFF"/>
        <w:tabs>
          <w:tab w:val="clear" w:pos="709"/>
          <w:tab w:val="left" w:pos="1418" w:leader="none"/>
        </w:tabs>
        <w:ind w:left="0" w:firstLine="709"/>
        <w:jc w:val="both"/>
        <w:rPr/>
      </w:pPr>
      <w:r>
        <w:rPr>
          <w:bCs/>
        </w:rPr>
        <w:t xml:space="preserve">начало выполнения Работ: </w:t>
      </w:r>
      <w:r>
        <w:rPr/>
        <w:t>с даты заключения Договора;</w:t>
      </w:r>
    </w:p>
    <w:p>
      <w:pPr>
        <w:pStyle w:val="ListParagraph"/>
        <w:numPr>
          <w:ilvl w:val="2"/>
          <w:numId w:val="22"/>
        </w:numPr>
        <w:shd w:val="clear" w:color="auto" w:fill="FFFFFF"/>
        <w:tabs>
          <w:tab w:val="clear" w:pos="709"/>
          <w:tab w:val="left" w:pos="1418" w:leader="none"/>
        </w:tabs>
        <w:ind w:left="0" w:firstLine="709"/>
        <w:jc w:val="both"/>
        <w:rPr/>
      </w:pPr>
      <w:r>
        <w:rPr>
          <w:bCs/>
        </w:rPr>
        <w:t xml:space="preserve">окончание выполнения Работ: </w:t>
      </w:r>
      <w:r>
        <w:rPr/>
        <w:t>«01» сентября 2027 г.</w:t>
      </w:r>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Выполнение Работ осуществляется в один этап. </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22"/>
        </w:numPr>
        <w:shd w:val="clear" w:color="auto" w:fill="FFFFFF"/>
        <w:tabs>
          <w:tab w:val="clear" w:pos="709"/>
          <w:tab w:val="left" w:pos="284" w:leader="none"/>
        </w:tabs>
        <w:ind w:left="0" w:hanging="0"/>
        <w:jc w:val="center"/>
        <w:rPr>
          <w:b/>
          <w:bCs/>
        </w:rPr>
      </w:pPr>
      <w:r>
        <w:rPr>
          <w:b/>
          <w:bCs/>
        </w:rPr>
        <w:t xml:space="preserve">Права и обязанности Сторон </w:t>
      </w:r>
    </w:p>
    <w:p>
      <w:pPr>
        <w:pStyle w:val="ListParagraph"/>
        <w:numPr>
          <w:ilvl w:val="1"/>
          <w:numId w:val="22"/>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22"/>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2"/>
        </w:numPr>
        <w:shd w:val="clear" w:color="auto" w:fill="FFFFFF"/>
        <w:tabs>
          <w:tab w:val="clear" w:pos="709"/>
          <w:tab w:val="left" w:pos="1418" w:leader="none"/>
        </w:tabs>
        <w:ind w:left="0" w:firstLine="709"/>
        <w:jc w:val="both"/>
        <w:rPr>
          <w:bCs/>
        </w:rPr>
      </w:pPr>
      <w:bookmarkStart w:id="3" w:name="_Ref361401696"/>
      <w:bookmarkStart w:id="4" w:name="_Ref361320734"/>
      <w:bookmarkStart w:id="5" w:name="_Ref361396847"/>
      <w:r>
        <w:rPr>
          <w:bCs/>
        </w:rPr>
        <w:t>В течение 3 (трех) рабочих дней с даты 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 к Договору).</w:t>
      </w:r>
      <w:bookmarkEnd w:id="3"/>
      <w:bookmarkEnd w:id="4"/>
      <w:bookmarkEnd w:id="5"/>
    </w:p>
    <w:p>
      <w:pPr>
        <w:pStyle w:val="ListParagraph"/>
        <w:numPr>
          <w:ilvl w:val="2"/>
          <w:numId w:val="22"/>
        </w:numPr>
        <w:shd w:val="clear" w:color="auto" w:fill="FFFFFF"/>
        <w:tabs>
          <w:tab w:val="clear" w:pos="709"/>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2"/>
        </w:numPr>
        <w:shd w:val="clear" w:color="auto" w:fill="FFFFFF"/>
        <w:tabs>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2"/>
        </w:numPr>
        <w:shd w:val="clear" w:color="auto" w:fill="FFFFFF"/>
        <w:tabs>
          <w:tab w:val="left" w:pos="709" w:leader="none"/>
        </w:tabs>
        <w:ind w:left="0" w:firstLine="710"/>
        <w:jc w:val="both"/>
        <w:rPr>
          <w:bCs/>
        </w:rPr>
      </w:pPr>
      <w:r>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22"/>
        </w:numPr>
        <w:shd w:val="clear" w:color="auto" w:fill="FFFFFF"/>
        <w:tabs>
          <w:tab w:val="clear" w:pos="709"/>
          <w:tab w:val="left" w:pos="1418" w:leader="none"/>
        </w:tabs>
        <w:ind w:left="0" w:firstLine="709"/>
        <w:jc w:val="both"/>
        <w:rPr>
          <w:bCs/>
          <w:highlight w:val="lightGray"/>
        </w:rPr>
      </w:pPr>
      <w:r>
        <w:rPr>
          <w:bCs/>
        </w:rPr>
        <w:t xml:space="preserve">Выполнять иные обязанности, предусмотренные Договором.  </w:t>
      </w:r>
    </w:p>
    <w:p>
      <w:pPr>
        <w:pStyle w:val="Normal"/>
        <w:tabs>
          <w:tab w:val="left" w:pos="709" w:leader="none"/>
        </w:tabs>
        <w:spacing w:lineRule="auto" w:line="240"/>
        <w:ind w:hanging="0"/>
        <w:rPr>
          <w:b/>
          <w:sz w:val="24"/>
          <w:szCs w:val="24"/>
        </w:rPr>
      </w:pPr>
      <w:r>
        <w:rPr>
          <w:b/>
          <w:sz w:val="24"/>
          <w:szCs w:val="24"/>
        </w:rPr>
      </w:r>
    </w:p>
    <w:p>
      <w:pPr>
        <w:pStyle w:val="ListParagraph"/>
        <w:numPr>
          <w:ilvl w:val="1"/>
          <w:numId w:val="22"/>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22"/>
        </w:numPr>
        <w:shd w:val="clear" w:color="auto" w:fill="FFFFFF"/>
        <w:tabs>
          <w:tab w:val="clear" w:pos="709"/>
          <w:tab w:val="left" w:pos="1418" w:leader="none"/>
        </w:tabs>
        <w:ind w:left="0" w:firstLine="709"/>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2"/>
        </w:numPr>
        <w:shd w:val="clear" w:color="auto" w:fill="FFFFFF"/>
        <w:tabs>
          <w:tab w:val="clear" w:pos="709"/>
          <w:tab w:val="left" w:pos="1418" w:leader="none"/>
        </w:tabs>
        <w:ind w:left="0" w:firstLine="709"/>
        <w:jc w:val="both"/>
        <w:rPr>
          <w:bCs/>
        </w:rPr>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Pr>
          <w:bCs/>
        </w:rPr>
        <w:t xml:space="preserve"> </w:t>
      </w:r>
    </w:p>
    <w:p>
      <w:pPr>
        <w:pStyle w:val="ListParagraph"/>
        <w:numPr>
          <w:ilvl w:val="2"/>
          <w:numId w:val="22"/>
        </w:numPr>
        <w:shd w:val="clear" w:color="auto" w:fill="FFFFFF"/>
        <w:tabs>
          <w:tab w:val="clear" w:pos="709"/>
          <w:tab w:val="left" w:pos="1418" w:leader="none"/>
        </w:tabs>
        <w:ind w:left="0" w:firstLine="709"/>
        <w:jc w:val="both"/>
        <w:rPr>
          <w:bCs/>
        </w:rPr>
      </w:pPr>
      <w:bookmarkStart w:id="7"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pPr>
        <w:pStyle w:val="ListParagraph"/>
        <w:numPr>
          <w:ilvl w:val="2"/>
          <w:numId w:val="22"/>
        </w:numPr>
        <w:shd w:val="clear" w:color="auto" w:fill="FFFFFF"/>
        <w:tabs>
          <w:tab w:val="clear" w:pos="709"/>
          <w:tab w:val="left" w:pos="1418" w:leader="none"/>
        </w:tabs>
        <w:ind w:left="0" w:firstLine="709"/>
        <w:jc w:val="both"/>
        <w:rPr>
          <w:bCs/>
        </w:rPr>
      </w:pPr>
      <w:bookmarkStart w:id="8"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Pr>
          <w:bCs/>
        </w:rPr>
        <w:t xml:space="preserve"> </w:t>
      </w:r>
    </w:p>
    <w:p>
      <w:pPr>
        <w:pStyle w:val="ListParagraph"/>
        <w:numPr>
          <w:ilvl w:val="2"/>
          <w:numId w:val="22"/>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2"/>
        </w:numPr>
        <w:shd w:val="clear" w:color="auto" w:fill="FFFFFF"/>
        <w:tabs>
          <w:tab w:val="clear" w:pos="709"/>
          <w:tab w:val="left" w:pos="1418" w:leader="none"/>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w:t>
      </w:r>
    </w:p>
    <w:p>
      <w:pPr>
        <w:pStyle w:val="ListParagraph"/>
        <w:numPr>
          <w:ilvl w:val="2"/>
          <w:numId w:val="22"/>
        </w:numPr>
        <w:shd w:val="clear" w:color="auto" w:fill="FFFFFF"/>
        <w:tabs>
          <w:tab w:val="left" w:pos="709"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pPr>
        <w:pStyle w:val="ListParagraph"/>
        <w:numPr>
          <w:ilvl w:val="2"/>
          <w:numId w:val="22"/>
        </w:numPr>
        <w:shd w:val="clear" w:color="auto" w:fill="FFFFFF"/>
        <w:tabs>
          <w:tab w:val="left" w:pos="709" w:leader="none"/>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shd w:val="clear" w:color="auto" w:fill="FFFFFF"/>
        <w:tabs>
          <w:tab w:val="clear" w:pos="709"/>
          <w:tab w:val="left" w:pos="567" w:leader="none"/>
        </w:tabs>
        <w:ind w:left="0" w:firstLine="567"/>
        <w:jc w:val="both"/>
        <w:rPr>
          <w:bCs/>
          <w:color w:val="FF0000"/>
        </w:rPr>
      </w:pPr>
      <w:r>
        <w:rPr>
          <w:bCs/>
          <w:color w:val="FF0000"/>
        </w:rPr>
      </w:r>
    </w:p>
    <w:p>
      <w:pPr>
        <w:pStyle w:val="ListParagraph"/>
        <w:numPr>
          <w:ilvl w:val="1"/>
          <w:numId w:val="22"/>
        </w:numPr>
        <w:shd w:val="clear" w:color="auto" w:fill="FFFFFF"/>
        <w:tabs>
          <w:tab w:val="clear" w:pos="709"/>
          <w:tab w:val="left" w:pos="1134" w:leader="none"/>
        </w:tabs>
        <w:ind w:left="0" w:firstLine="709"/>
        <w:jc w:val="both"/>
        <w:rPr>
          <w:bCs/>
        </w:rPr>
      </w:pPr>
      <w:r>
        <w:rPr>
          <w:bCs/>
          <w:u w:val="single"/>
        </w:rPr>
        <w:t>Подрядчик обязан</w:t>
      </w:r>
      <w:r>
        <w:rPr>
          <w:bCs/>
        </w:rPr>
        <w:t>:</w:t>
      </w:r>
    </w:p>
    <w:p>
      <w:pPr>
        <w:pStyle w:val="ListParagraph"/>
        <w:numPr>
          <w:ilvl w:val="2"/>
          <w:numId w:val="22"/>
        </w:numPr>
        <w:shd w:val="clear" w:color="auto" w:fill="FFFFFF"/>
        <w:tabs>
          <w:tab w:val="clear" w:pos="709"/>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2"/>
        </w:numPr>
        <w:shd w:val="clear" w:color="auto" w:fill="FFFFFF"/>
        <w:tabs>
          <w:tab w:val="clear" w:pos="709"/>
          <w:tab w:val="left" w:pos="1418" w:leader="none"/>
        </w:tabs>
        <w:ind w:left="0" w:firstLine="709"/>
        <w:jc w:val="both"/>
        <w:rPr>
          <w:bCs/>
        </w:rPr>
      </w:pPr>
      <w:r>
        <w:rPr>
          <w:bCs/>
        </w:rPr>
        <w:t>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 к Договору).</w:t>
      </w:r>
    </w:p>
    <w:p>
      <w:pPr>
        <w:pStyle w:val="ListParagraph"/>
        <w:numPr>
          <w:ilvl w:val="2"/>
          <w:numId w:val="22"/>
        </w:numPr>
        <w:shd w:val="clear" w:color="auto" w:fill="FFFFFF"/>
        <w:tabs>
          <w:tab w:val="clear" w:pos="709"/>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10 (десяти) рабочих дней с даты принятия её по Акту сдачи-приемки технической и иной документации (Приложение № 3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22"/>
        </w:numPr>
        <w:tabs>
          <w:tab w:val="left" w:pos="709" w:leader="none"/>
          <w:tab w:val="left" w:pos="1430" w:leader="none"/>
        </w:tabs>
        <w:spacing w:lineRule="auto" w:line="240"/>
        <w:ind w:left="0" w:firstLine="709"/>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pPr>
        <w:pStyle w:val="Normal"/>
        <w:widowControl w:val="false"/>
        <w:numPr>
          <w:ilvl w:val="2"/>
          <w:numId w:val="22"/>
        </w:numPr>
        <w:tabs>
          <w:tab w:val="left" w:pos="709" w:leader="none"/>
          <w:tab w:val="left" w:pos="1430" w:leader="none"/>
        </w:tabs>
        <w:spacing w:lineRule="auto" w:line="240"/>
        <w:ind w:left="0" w:firstLine="709"/>
        <w:rPr>
          <w:bCs/>
          <w:sz w:val="24"/>
          <w:szCs w:val="24"/>
        </w:rPr>
      </w:pPr>
      <w:r>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2"/>
          <w:numId w:val="22"/>
        </w:numPr>
        <w:shd w:val="clear" w:color="auto" w:fill="FFFFFF"/>
        <w:tabs>
          <w:tab w:val="clear" w:pos="709"/>
          <w:tab w:val="left" w:pos="1418" w:leader="none"/>
        </w:tabs>
        <w:ind w:left="0" w:firstLine="709"/>
        <w:jc w:val="both"/>
        <w:rPr>
          <w:bCs/>
        </w:rPr>
      </w:pPr>
      <w:r>
        <w:rPr>
          <w:bCs/>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2.2.2 и разделе 15 Договора, – не позднее 3 (трех) рабочих дней с даты получения соответствующего требования Заказчика. </w:t>
      </w:r>
    </w:p>
    <w:p>
      <w:pPr>
        <w:pStyle w:val="ListParagraph"/>
        <w:numPr>
          <w:ilvl w:val="2"/>
          <w:numId w:val="22"/>
        </w:numPr>
        <w:shd w:val="clear" w:color="auto" w:fill="FFFFFF"/>
        <w:tabs>
          <w:tab w:val="clear" w:pos="709"/>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9"/>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2"/>
        </w:numPr>
        <w:shd w:val="clear" w:color="auto" w:fill="FFFFFF"/>
        <w:tabs>
          <w:tab w:val="clear" w:pos="709"/>
          <w:tab w:val="left" w:pos="1418" w:leader="none"/>
        </w:tabs>
        <w:ind w:left="0" w:firstLine="709"/>
        <w:jc w:val="both"/>
        <w:rPr/>
      </w:pPr>
      <w:r>
        <w:rPr/>
        <w:t>Обеспечить:</w:t>
      </w:r>
    </w:p>
    <w:p>
      <w:pPr>
        <w:pStyle w:val="ListParagraph"/>
        <w:numPr>
          <w:ilvl w:val="0"/>
          <w:numId w:val="13"/>
        </w:numPr>
        <w:shd w:val="clear" w:color="auto" w:fill="FFFFFF"/>
        <w:tabs>
          <w:tab w:val="clear" w:pos="709"/>
          <w:tab w:val="left" w:pos="567" w:leader="none"/>
          <w:tab w:val="left" w:pos="1418" w:leader="none"/>
        </w:tabs>
        <w:ind w:left="0" w:firstLine="709"/>
        <w:jc w:val="both"/>
        <w:rPr>
          <w:bCs/>
        </w:rPr>
      </w:pPr>
      <w:r>
        <w:rPr>
          <w:bCs/>
        </w:rPr>
        <w:t xml:space="preserve">участие в саморегулируемой организации, основанной на членстве лиц, </w:t>
      </w:r>
      <w:r>
        <w:rPr/>
        <w:t>выполняющих инженерные изыскания / подготовку проектной документации</w:t>
      </w:r>
      <w:r>
        <w:rPr>
          <w:bCs/>
        </w:rPr>
        <w:t xml:space="preserve"> (с учетом исключений, предусмотренных законодательством Российской Федерации);</w:t>
      </w:r>
    </w:p>
    <w:p>
      <w:pPr>
        <w:pStyle w:val="ListParagraph"/>
        <w:numPr>
          <w:ilvl w:val="0"/>
          <w:numId w:val="13"/>
        </w:numPr>
        <w:shd w:val="clear" w:color="auto" w:fill="FFFFFF"/>
        <w:tabs>
          <w:tab w:val="clear" w:pos="709"/>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3"/>
        </w:numPr>
        <w:tabs>
          <w:tab w:val="clear" w:pos="709"/>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22"/>
        </w:numPr>
        <w:shd w:val="clear" w:color="auto" w:fill="FFFFFF"/>
        <w:tabs>
          <w:tab w:val="clear" w:pos="709"/>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22"/>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2"/>
        </w:numPr>
        <w:shd w:val="clear" w:color="auto" w:fill="FFFFFF"/>
        <w:tabs>
          <w:tab w:val="clear" w:pos="709"/>
          <w:tab w:val="left" w:pos="1418" w:leader="none"/>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22"/>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2"/>
        </w:numPr>
        <w:shd w:val="clear" w:color="auto" w:fill="FFFFFF"/>
        <w:tabs>
          <w:tab w:val="clear" w:pos="709"/>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2"/>
        </w:numPr>
        <w:shd w:val="clear" w:color="auto" w:fill="FFFFFF"/>
        <w:tabs>
          <w:tab w:val="clear" w:pos="709"/>
          <w:tab w:val="left" w:pos="1418" w:leader="none"/>
        </w:tabs>
        <w:ind w:left="0" w:firstLine="709"/>
        <w:jc w:val="both"/>
        <w:rPr>
          <w:bCs/>
        </w:rPr>
      </w:pPr>
      <w:r>
        <w:rPr>
          <w:bCs/>
        </w:rPr>
        <w:t xml:space="preserve">Передать Заказчику Результат работ, соответствующий требованиям Договора. </w:t>
      </w:r>
    </w:p>
    <w:p>
      <w:pPr>
        <w:pStyle w:val="ListParagraph"/>
        <w:numPr>
          <w:ilvl w:val="2"/>
          <w:numId w:val="22"/>
        </w:numPr>
        <w:shd w:val="clear" w:color="auto" w:fill="FFFFFF"/>
        <w:tabs>
          <w:tab w:val="clear" w:pos="709"/>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pPr>
        <w:pStyle w:val="ListParagraph"/>
        <w:shd w:val="clear" w:color="auto" w:fill="FFFFFF"/>
        <w:tabs>
          <w:tab w:val="clear" w:pos="709"/>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pPr>
        <w:pStyle w:val="ListParagraph"/>
        <w:numPr>
          <w:ilvl w:val="2"/>
          <w:numId w:val="22"/>
        </w:numPr>
        <w:shd w:val="clear" w:color="auto" w:fill="FFFFFF"/>
        <w:tabs>
          <w:tab w:val="clear" w:pos="709"/>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2"/>
        </w:numPr>
        <w:shd w:val="clear" w:color="auto" w:fill="FFFFFF"/>
        <w:tabs>
          <w:tab w:val="clear" w:pos="709"/>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2"/>
        </w:numPr>
        <w:shd w:val="clear" w:color="auto" w:fill="FFFFFF"/>
        <w:tabs>
          <w:tab w:val="clear" w:pos="709"/>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2"/>
        </w:numPr>
        <w:shd w:val="clear" w:color="auto" w:fill="FFFFFF"/>
        <w:tabs>
          <w:tab w:val="clear" w:pos="709"/>
          <w:tab w:val="left" w:pos="1701" w:leader="none"/>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s>
        <w:ind w:left="0" w:firstLine="709"/>
        <w:jc w:val="both"/>
        <w:rPr>
          <w:bCs/>
        </w:rPr>
      </w:pPr>
      <w:r>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2"/>
        </w:numPr>
        <w:shd w:val="clear" w:color="auto" w:fill="FFFFFF"/>
        <w:tabs>
          <w:tab w:val="clear" w:pos="709"/>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tabs>
          <w:tab w:val="clear" w:pos="709"/>
          <w:tab w:val="left" w:pos="1134" w:leader="none"/>
        </w:tabs>
        <w:ind w:left="0" w:right="23" w:firstLine="709"/>
        <w:jc w:val="both"/>
        <w:rPr/>
      </w:pPr>
      <w:r>
        <w:rPr/>
        <w:t>аварии – в течение 2 (двух) часов;</w:t>
      </w:r>
    </w:p>
    <w:p>
      <w:pPr>
        <w:pStyle w:val="ListParagraph"/>
        <w:numPr>
          <w:ilvl w:val="0"/>
          <w:numId w:val="14"/>
        </w:numPr>
        <w:tabs>
          <w:tab w:val="clear" w:pos="709"/>
          <w:tab w:val="left" w:pos="1134" w:leader="none"/>
        </w:tabs>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tabs>
          <w:tab w:val="clear" w:pos="709"/>
          <w:tab w:val="left" w:pos="1134" w:leader="none"/>
        </w:tabs>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4"/>
        </w:numPr>
        <w:tabs>
          <w:tab w:val="clear" w:pos="709"/>
          <w:tab w:val="left" w:pos="1134" w:leader="none"/>
        </w:tabs>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tabs>
          <w:tab w:val="clear" w:pos="709"/>
          <w:tab w:val="left" w:pos="1134" w:leader="none"/>
        </w:tabs>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9"/>
          <w:tab w:val="left" w:pos="1134" w:leader="none"/>
        </w:tabs>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2"/>
        </w:numPr>
        <w:shd w:val="clear" w:color="auto" w:fill="FFFFFF"/>
        <w:tabs>
          <w:tab w:val="clear" w:pos="709"/>
          <w:tab w:val="left" w:pos="1418" w:leader="none"/>
        </w:tabs>
        <w:ind w:left="0" w:firstLine="709"/>
        <w:jc w:val="both"/>
        <w:rPr>
          <w:bCs/>
        </w:rPr>
      </w:pPr>
      <w: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rPr>
        <w:t>требований Договора.</w:t>
      </w:r>
    </w:p>
    <w:p>
      <w:pPr>
        <w:pStyle w:val="ListParagraph"/>
        <w:numPr>
          <w:ilvl w:val="2"/>
          <w:numId w:val="22"/>
        </w:numPr>
        <w:shd w:val="clear" w:color="auto" w:fill="FFFFFF"/>
        <w:tabs>
          <w:tab w:val="clear" w:pos="709"/>
          <w:tab w:val="left" w:pos="1418" w:leader="none"/>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pPr>
        <w:pStyle w:val="ListParagraph"/>
        <w:numPr>
          <w:ilvl w:val="2"/>
          <w:numId w:val="22"/>
        </w:numPr>
        <w:shd w:val="clear" w:color="auto" w:fill="FFFFFF"/>
        <w:tabs>
          <w:tab w:val="clear" w:pos="709"/>
          <w:tab w:val="left" w:pos="1418" w:leader="none"/>
        </w:tabs>
        <w:ind w:left="0" w:firstLine="709"/>
        <w:jc w:val="both"/>
        <w:rPr>
          <w:bCs/>
        </w:rPr>
      </w:pPr>
      <w:r>
        <w:rPr>
          <w:bCs/>
        </w:rPr>
        <w:t>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Проектной документации, инженерных изысканий и / или Рабочей документации, включая обнаруженные в последствии в ходе строительства / реконструкции, а также в процессе эксплуатации Объекта, созданного на основе Проектной документации, инженерных изысканий и / или Рабочей документации.</w:t>
      </w:r>
    </w:p>
    <w:p>
      <w:pPr>
        <w:pStyle w:val="ListParagraph"/>
        <w:numPr>
          <w:ilvl w:val="2"/>
          <w:numId w:val="22"/>
        </w:numPr>
        <w:shd w:val="clear" w:color="auto" w:fill="FFFFFF"/>
        <w:tabs>
          <w:tab w:val="clear" w:pos="709"/>
          <w:tab w:val="left" w:pos="1418" w:leader="none"/>
        </w:tabs>
        <w:ind w:left="0" w:firstLine="709"/>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22"/>
        </w:numPr>
        <w:ind w:left="0" w:firstLine="709"/>
        <w:jc w:val="both"/>
        <w:rPr>
          <w:color w:val="000000"/>
        </w:rPr>
      </w:pPr>
      <w:r>
        <w:rPr/>
        <w:t>Предоставить Заказчику Банковскую гарантию в соответствии с разделом 6 Договора</w:t>
      </w:r>
      <w:r>
        <w:rPr>
          <w:color w:val="000000"/>
        </w:rPr>
        <w:t>.</w:t>
      </w:r>
    </w:p>
    <w:p>
      <w:pPr>
        <w:pStyle w:val="ListParagraph"/>
        <w:numPr>
          <w:ilvl w:val="2"/>
          <w:numId w:val="22"/>
        </w:numPr>
        <w:shd w:val="clear" w:color="auto" w:fill="FFFFFF"/>
        <w:tabs>
          <w:tab w:val="clear" w:pos="709"/>
          <w:tab w:val="left" w:pos="1418" w:leader="none"/>
        </w:tabs>
        <w:ind w:left="0" w:firstLine="710"/>
        <w:jc w:val="both"/>
        <w:rPr/>
      </w:pPr>
      <w: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22"/>
        </w:numPr>
        <w:shd w:val="clear" w:color="auto" w:fill="FFFFFF"/>
        <w:tabs>
          <w:tab w:val="clear" w:pos="709"/>
          <w:tab w:val="left" w:pos="1418" w:leader="none"/>
        </w:tabs>
        <w:ind w:left="0" w:firstLine="710"/>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2"/>
        </w:numPr>
        <w:shd w:val="clear" w:color="auto" w:fill="FFFFFF"/>
        <w:tabs>
          <w:tab w:val="clear" w:pos="709"/>
          <w:tab w:val="left" w:pos="1418" w:leader="none"/>
        </w:tabs>
        <w:ind w:left="0" w:firstLine="709"/>
        <w:jc w:val="both"/>
        <w:rPr>
          <w:bCs/>
          <w:highlight w:val="lightGray"/>
        </w:rPr>
      </w:pPr>
      <w:r>
        <w:rPr/>
        <w:t xml:space="preserve">Исполнять иные обязанности, предусмотренные Договором и </w:t>
      </w:r>
      <w:r>
        <w:rPr>
          <w:bCs/>
        </w:rPr>
        <w:t>законодательством Российской Федерации.</w:t>
      </w:r>
    </w:p>
    <w:p>
      <w:pPr>
        <w:pStyle w:val="Normal"/>
        <w:spacing w:lineRule="auto" w:line="240"/>
        <w:rPr>
          <w:sz w:val="24"/>
          <w:szCs w:val="24"/>
        </w:rPr>
      </w:pPr>
      <w:r>
        <w:rPr>
          <w:sz w:val="24"/>
          <w:szCs w:val="24"/>
        </w:rPr>
      </w:r>
    </w:p>
    <w:p>
      <w:pPr>
        <w:pStyle w:val="ListParagraph"/>
        <w:numPr>
          <w:ilvl w:val="1"/>
          <w:numId w:val="22"/>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22"/>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2"/>
        </w:numPr>
        <w:shd w:val="clear" w:color="auto" w:fill="FFFFFF"/>
        <w:tabs>
          <w:tab w:val="clear" w:pos="709"/>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 (____)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9"/>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5"/>
        </w:numPr>
        <w:shd w:val="clear" w:color="auto" w:fill="FFFFFF"/>
        <w:tabs>
          <w:tab w:val="left" w:pos="709" w:leader="none"/>
        </w:tabs>
        <w:ind w:left="0" w:firstLine="709"/>
        <w:jc w:val="both"/>
        <w:rPr>
          <w:bCs/>
        </w:rPr>
      </w:pPr>
      <w:r>
        <w:rPr>
          <w:bCs/>
        </w:rPr>
        <w:t xml:space="preserve">проект договора с Субподрядчиком; </w:t>
      </w:r>
    </w:p>
    <w:p>
      <w:pPr>
        <w:pStyle w:val="ListParagraph"/>
        <w:numPr>
          <w:ilvl w:val="0"/>
          <w:numId w:val="15"/>
        </w:numPr>
        <w:shd w:val="clear" w:color="auto" w:fill="FFFFFF"/>
        <w:tabs>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5"/>
        </w:numPr>
        <w:shd w:val="clear" w:color="auto" w:fill="FFFFFF"/>
        <w:tabs>
          <w:tab w:val="left" w:pos="709" w:leader="none"/>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numPr>
          <w:ilvl w:val="0"/>
          <w:numId w:val="15"/>
        </w:numPr>
        <w:shd w:val="clear" w:color="auto" w:fill="FFFFFF"/>
        <w:tabs>
          <w:tab w:val="left" w:pos="709" w:leader="none"/>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9"/>
          <w:tab w:val="left" w:pos="1418" w:leader="none"/>
        </w:tabs>
        <w:ind w:left="0" w:firstLine="709"/>
        <w:jc w:val="both"/>
        <w:rPr/>
      </w:pPr>
      <w:r>
        <w:rPr/>
      </w:r>
    </w:p>
    <w:p>
      <w:pPr>
        <w:pStyle w:val="ListParagraph"/>
        <w:numPr>
          <w:ilvl w:val="0"/>
          <w:numId w:val="22"/>
        </w:numPr>
        <w:shd w:val="clear" w:color="auto" w:fill="FFFFFF"/>
        <w:tabs>
          <w:tab w:val="clear" w:pos="709"/>
          <w:tab w:val="left" w:pos="284" w:leader="none"/>
        </w:tabs>
        <w:ind w:left="0" w:hanging="0"/>
        <w:jc w:val="center"/>
        <w:rPr/>
      </w:pPr>
      <w:r>
        <w:rPr>
          <w:b/>
          <w:bCs/>
        </w:rPr>
        <w:t>Цена Договора и порядок расчетов</w:t>
      </w:r>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Цена </w:t>
      </w:r>
      <w:r>
        <w:rPr/>
        <w:t xml:space="preserve">Договора </w:t>
      </w:r>
      <w:r>
        <w:rPr>
          <w:bCs/>
        </w:rPr>
        <w:t xml:space="preserve">в соответствии со Сводной сметой с приложениями (Приложение № 2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учета НДС, при этом НДС исчисляется дополнительно по ставке, установленной статьей 164 Налогового кодекса РФ. </w:t>
      </w:r>
    </w:p>
    <w:p>
      <w:pPr>
        <w:pStyle w:val="ListParagraph"/>
        <w:numPr>
          <w:ilvl w:val="1"/>
          <w:numId w:val="22"/>
        </w:numPr>
        <w:shd w:val="clear" w:color="auto" w:fill="FFFFFF"/>
        <w:tabs>
          <w:tab w:val="clear" w:pos="709"/>
          <w:tab w:val="left" w:pos="1134" w:leader="none"/>
        </w:tabs>
        <w:ind w:left="0" w:firstLine="709"/>
        <w:jc w:val="both"/>
        <w:rPr/>
      </w:pPr>
      <w:bookmarkStart w:id="9" w:name="_Ref361335465"/>
      <w:bookmarkStart w:id="10" w:name="_Ref361834605"/>
      <w:r>
        <w:rPr/>
        <w:t>Сметы являются неотъемлемой частью Сводной сметы с приложениями (Приложение № 2 к Договору).</w:t>
      </w:r>
      <w:bookmarkEnd w:id="9"/>
      <w:bookmarkEnd w:id="10"/>
    </w:p>
    <w:p>
      <w:pPr>
        <w:pStyle w:val="ListParagraph"/>
        <w:numPr>
          <w:ilvl w:val="1"/>
          <w:numId w:val="22"/>
        </w:numPr>
        <w:shd w:val="clear" w:color="auto" w:fill="FFFFFF"/>
        <w:tabs>
          <w:tab w:val="clear" w:pos="709"/>
          <w:tab w:val="left" w:pos="1134" w:leader="none"/>
        </w:tabs>
        <w:ind w:left="0" w:firstLine="709"/>
        <w:jc w:val="both"/>
        <w:rPr/>
      </w:pPr>
      <w:r>
        <w:rPr>
          <w:bCs/>
        </w:rPr>
        <w:t>Цена Договора включает в себя прибыль Подрядчика, а также все расходы и затраты Подрядчика на:</w:t>
      </w:r>
    </w:p>
    <w:p>
      <w:pPr>
        <w:pStyle w:val="ListParagraph"/>
        <w:numPr>
          <w:ilvl w:val="2"/>
          <w:numId w:val="22"/>
        </w:numPr>
        <w:shd w:val="clear" w:color="auto" w:fill="FFFFFF"/>
        <w:tabs>
          <w:tab w:val="clear" w:pos="709"/>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2"/>
        </w:numPr>
        <w:shd w:val="clear" w:color="auto" w:fill="FFFFFF"/>
        <w:tabs>
          <w:tab w:val="clear" w:pos="709"/>
          <w:tab w:val="left" w:pos="1418" w:leader="none"/>
        </w:tabs>
        <w:ind w:left="0" w:firstLine="709"/>
        <w:jc w:val="both"/>
        <w:rPr/>
      </w:pPr>
      <w:r>
        <w:rPr/>
        <w:t>Получение и оформление Исходно-разрешительной документации.</w:t>
      </w:r>
    </w:p>
    <w:p>
      <w:pPr>
        <w:pStyle w:val="ListParagraph"/>
        <w:numPr>
          <w:ilvl w:val="2"/>
          <w:numId w:val="22"/>
        </w:numPr>
        <w:shd w:val="clear" w:color="auto" w:fill="FFFFFF"/>
        <w:tabs>
          <w:tab w:val="clear" w:pos="709"/>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2"/>
        </w:numPr>
        <w:shd w:val="clear" w:color="auto" w:fill="FFFFFF"/>
        <w:tabs>
          <w:tab w:val="clear" w:pos="709"/>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22"/>
        </w:numPr>
        <w:shd w:val="clear" w:color="auto" w:fill="FFFFFF"/>
        <w:tabs>
          <w:tab w:val="clear" w:pos="709"/>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22"/>
        </w:numPr>
        <w:shd w:val="clear" w:color="auto" w:fill="FFFFFF"/>
        <w:tabs>
          <w:tab w:val="clear" w:pos="709"/>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 установленной статьей 164 Налогового кодекса РФ.</w:t>
      </w:r>
    </w:p>
    <w:p>
      <w:pPr>
        <w:pStyle w:val="ListParagraph"/>
        <w:numPr>
          <w:ilvl w:val="1"/>
          <w:numId w:val="22"/>
        </w:numPr>
        <w:shd w:val="clear" w:color="auto" w:fill="FFFFFF"/>
        <w:tabs>
          <w:tab w:val="clear" w:pos="709"/>
          <w:tab w:val="left" w:pos="1134" w:leader="none"/>
        </w:tabs>
        <w:ind w:left="0" w:firstLine="709"/>
        <w:jc w:val="both"/>
        <w:rPr>
          <w:bCs/>
        </w:rPr>
      </w:pPr>
      <w:bookmarkStart w:id="11" w:name="_Ref361858588"/>
      <w:bookmarkStart w:id="12" w:name="_Ref361834675"/>
      <w:r>
        <w:rPr>
          <w:bCs/>
        </w:rPr>
        <w:t>Оплата по Договору осуществляется Заказчиком в следующем порядке:</w:t>
      </w:r>
      <w:bookmarkEnd w:id="11"/>
      <w:bookmarkEnd w:id="12"/>
      <w:r>
        <w:rPr>
          <w:bCs/>
        </w:rPr>
        <w:t xml:space="preserve"> </w:t>
      </w:r>
    </w:p>
    <w:p>
      <w:pPr>
        <w:pStyle w:val="ListParagraph"/>
        <w:numPr>
          <w:ilvl w:val="2"/>
          <w:numId w:val="22"/>
        </w:numPr>
        <w:shd w:val="clear" w:color="auto" w:fill="FFFFFF"/>
        <w:tabs>
          <w:tab w:val="clear" w:pos="709"/>
          <w:tab w:val="left" w:pos="1418" w:leader="none"/>
        </w:tabs>
        <w:ind w:left="0" w:firstLine="709"/>
        <w:jc w:val="both"/>
        <w:rPr/>
      </w:pPr>
      <w:r>
        <w:rPr/>
        <w:t>Подрядчик не позднее 3 (трех) рабочих дней до предполагаемой даты выплаты авансового платежа, обязан предоставить Заказчику Банковскую гарантию, соответствующую требованиям, установленным разделом 6 Договора.</w:t>
      </w:r>
    </w:p>
    <w:p>
      <w:pPr>
        <w:pStyle w:val="ListParagraph"/>
        <w:numPr>
          <w:ilvl w:val="2"/>
          <w:numId w:val="22"/>
        </w:numPr>
        <w:shd w:val="clear" w:color="auto" w:fill="FFFFFF"/>
        <w:tabs>
          <w:tab w:val="clear" w:pos="709"/>
          <w:tab w:val="left" w:pos="1418" w:leader="none"/>
        </w:tabs>
        <w:ind w:left="0" w:firstLine="710"/>
        <w:jc w:val="both"/>
        <w:rPr/>
      </w:pPr>
      <w:bookmarkStart w:id="13" w:name="_Ref361335023"/>
      <w:bookmarkStart w:id="14" w:name="_Ref373242766"/>
      <w:bookmarkStart w:id="15" w:name="_Ref361335057"/>
      <w:bookmarkStart w:id="16" w:name="_Ref373242755"/>
      <w:bookmarkEnd w:id="15"/>
      <w:bookmarkEnd w:id="16"/>
      <w:r>
        <w:rPr/>
        <w:t>Авансовый платеж в счет стоимости Работ рассчитывается в размере 30 (тридцати) процентов от стоимости Работ</w:t>
      </w:r>
      <w:r>
        <w:rPr>
          <w:sz w:val="28"/>
          <w:szCs w:val="28"/>
        </w:rPr>
        <w:t xml:space="preserve"> </w:t>
      </w:r>
      <w:r>
        <w:rPr/>
        <w:t xml:space="preserve">без учета НДС, кроме того НДС </w:t>
      </w:r>
      <w:r>
        <w:rPr>
          <w:bCs/>
        </w:rPr>
        <w:t xml:space="preserve">по ставке, установленной статьей 164 Налогового кодекса РФ, </w:t>
      </w:r>
      <w:r>
        <w:rPr/>
        <w:t>и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Работ, определенной в пункте 1.5.1 Договора, и с учетом пунктов 3.5.1, 3.5.4 Договора.</w:t>
      </w:r>
      <w:bookmarkEnd w:id="14"/>
    </w:p>
    <w:p>
      <w:pPr>
        <w:pStyle w:val="ListParagraph"/>
        <w:numPr>
          <w:ilvl w:val="2"/>
          <w:numId w:val="22"/>
        </w:numPr>
        <w:shd w:val="clear" w:color="auto" w:fill="FFFFFF"/>
        <w:tabs>
          <w:tab w:val="clear" w:pos="709"/>
          <w:tab w:val="left" w:pos="1418" w:leader="none"/>
        </w:tabs>
        <w:ind w:left="0" w:firstLine="709"/>
        <w:jc w:val="both"/>
        <w:rPr/>
      </w:pPr>
      <w:r>
        <w:rPr/>
        <w:t>Платеж в размере разницы между стоимостью Работ, определенной с учетом НДС</w:t>
      </w:r>
      <w:r>
        <w:rPr>
          <w:bCs/>
        </w:rPr>
        <w:t xml:space="preserve"> по ставке, установленной статьей 164 Налогового кодекса РФ на дату подписания Сторонами документов, указанных в п. 4.1 Договора</w:t>
      </w:r>
      <w:r>
        <w:rPr/>
        <w:t xml:space="preserve"> и </w:t>
      </w:r>
      <w:r>
        <w:rPr>
          <w:bCs/>
        </w:rPr>
        <w:t xml:space="preserve">суммой авансового платежа, ранее уплаченного </w:t>
      </w:r>
      <w:r>
        <w:rPr/>
        <w:t>в соответствии с пунктом 3.5.2 Договора,</w:t>
      </w:r>
      <w:r>
        <w:rPr>
          <w:bCs/>
        </w:rPr>
        <w:t xml:space="preserve"> авансового платежа, </w:t>
      </w:r>
      <w:r>
        <w:rPr/>
        <w:t xml:space="preserve">выплачивается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3.5.4 Договора. </w:t>
      </w:r>
    </w:p>
    <w:p>
      <w:pPr>
        <w:pStyle w:val="ListParagraph"/>
        <w:numPr>
          <w:ilvl w:val="2"/>
          <w:numId w:val="22"/>
        </w:numPr>
        <w:shd w:val="clear" w:color="auto" w:fill="FFFFFF"/>
        <w:tabs>
          <w:tab w:val="clear" w:pos="709"/>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2"/>
        </w:numPr>
        <w:shd w:val="clear" w:color="auto" w:fill="FFFFFF"/>
        <w:tabs>
          <w:tab w:val="clear" w:pos="709"/>
          <w:tab w:val="left" w:pos="1418" w:leader="none"/>
        </w:tabs>
        <w:ind w:left="0" w:firstLine="709"/>
        <w:jc w:val="both"/>
        <w:rPr>
          <w:bCs/>
        </w:rPr>
      </w:pPr>
      <w:bookmarkStart w:id="17" w:name="_Ref373242894"/>
      <w:bookmarkStart w:id="18" w:name="_Ref361834178"/>
      <w:bookmarkEnd w:id="18"/>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Pr/>
        <w:t>предоставил</w:t>
      </w:r>
      <w:r>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17"/>
      <w:r>
        <w:rPr>
          <w:bCs/>
        </w:rPr>
        <w:t xml:space="preserve"> </w:t>
      </w:r>
    </w:p>
    <w:p>
      <w:pPr>
        <w:pStyle w:val="ListParagraph"/>
        <w:numPr>
          <w:ilvl w:val="1"/>
          <w:numId w:val="22"/>
        </w:numPr>
        <w:shd w:val="clear" w:color="auto" w:fill="FFFFFF"/>
        <w:tabs>
          <w:tab w:val="clear" w:pos="709"/>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9" w:name="_Ref361336647"/>
      <w:bookmarkEnd w:id="19"/>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За исключением случая, указанного в пункте 2.3.15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2"/>
        </w:numPr>
        <w:shd w:val="clear" w:color="auto" w:fill="FFFFFF"/>
        <w:tabs>
          <w:tab w:val="clear" w:pos="709"/>
          <w:tab w:val="left" w:pos="1134" w:leader="none"/>
        </w:tabs>
        <w:ind w:left="0" w:firstLine="709"/>
        <w:jc w:val="both"/>
        <w:rPr>
          <w:bCs/>
        </w:rPr>
      </w:pPr>
      <w:r>
        <w:rPr/>
        <w:t xml:space="preserve">Командировочные расходы включаются в стоимость Работ в соответствии с расчетом, прилагаемым к Сводной смете </w:t>
      </w:r>
      <w:r>
        <w:rPr>
          <w:bCs/>
        </w:rPr>
        <w:t>с приложениями</w:t>
      </w:r>
      <w:r>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20" w:name="_Ref361834251"/>
      <w:bookmarkEnd w:id="13"/>
    </w:p>
    <w:p>
      <w:pPr>
        <w:pStyle w:val="ListParagraph"/>
        <w:numPr>
          <w:ilvl w:val="1"/>
          <w:numId w:val="22"/>
        </w:numPr>
        <w:shd w:val="clear" w:color="auto" w:fill="FFFFFF"/>
        <w:tabs>
          <w:tab w:val="clear" w:pos="709"/>
          <w:tab w:val="left" w:pos="1134" w:leader="none"/>
        </w:tabs>
        <w:ind w:left="0" w:firstLine="709"/>
        <w:jc w:val="both"/>
        <w:rPr>
          <w:bCs/>
        </w:rPr>
      </w:pPr>
      <w:r>
        <w:rPr>
          <w:bCs/>
        </w:rPr>
        <w:t>Индексация Цены Договора не допускается.</w:t>
      </w:r>
    </w:p>
    <w:p>
      <w:pPr>
        <w:pStyle w:val="ListParagraph"/>
        <w:numPr>
          <w:ilvl w:val="1"/>
          <w:numId w:val="22"/>
        </w:numPr>
        <w:shd w:val="clear" w:color="auto" w:fill="FFFFFF"/>
        <w:tabs>
          <w:tab w:val="clear" w:pos="709"/>
          <w:tab w:val="left" w:pos="1134" w:leader="none"/>
        </w:tabs>
        <w:ind w:left="0" w:firstLine="709"/>
        <w:jc w:val="both"/>
        <w:rPr>
          <w:bCs/>
        </w:rPr>
      </w:pPr>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9"/>
          <w:tab w:val="left" w:pos="1134" w:leader="none"/>
        </w:tabs>
        <w:ind w:left="0" w:firstLine="709"/>
        <w:jc w:val="both"/>
        <w:rPr>
          <w:bCs/>
        </w:rPr>
      </w:pPr>
      <w:r>
        <w:rPr>
          <w:bCs/>
        </w:rPr>
        <w:t>Заказчик направляет Подрядчику уведомление о проведении сальдо взаимных обязательств Сторон по Договору.</w:t>
      </w:r>
      <w:bookmarkEnd w:id="20"/>
    </w:p>
    <w:p>
      <w:pPr>
        <w:pStyle w:val="ListParagraph"/>
        <w:shd w:val="clear" w:color="auto" w:fill="FFFFFF"/>
        <w:tabs>
          <w:tab w:val="clear" w:pos="709"/>
          <w:tab w:val="left" w:pos="1134" w:leader="none"/>
        </w:tabs>
        <w:ind w:left="0" w:firstLine="567"/>
        <w:jc w:val="both"/>
        <w:rPr>
          <w:bCs/>
        </w:rPr>
      </w:pPr>
      <w:r>
        <w:rPr>
          <w:bCs/>
        </w:rPr>
      </w:r>
    </w:p>
    <w:p>
      <w:pPr>
        <w:pStyle w:val="ListParagraph"/>
        <w:numPr>
          <w:ilvl w:val="0"/>
          <w:numId w:val="22"/>
        </w:numPr>
        <w:shd w:val="clear" w:color="auto" w:fill="FFFFFF"/>
        <w:tabs>
          <w:tab w:val="clear" w:pos="709"/>
          <w:tab w:val="left" w:pos="284" w:leader="none"/>
        </w:tabs>
        <w:ind w:left="0" w:hanging="0"/>
        <w:jc w:val="center"/>
        <w:rPr>
          <w:b/>
          <w:bCs/>
        </w:rPr>
      </w:pPr>
      <w:r>
        <w:rPr>
          <w:b/>
          <w:bCs/>
        </w:rPr>
        <w:t>Порядок сдачи-приемки Работ</w:t>
      </w:r>
    </w:p>
    <w:p>
      <w:pPr>
        <w:pStyle w:val="ListParagraph"/>
        <w:numPr>
          <w:ilvl w:val="1"/>
          <w:numId w:val="22"/>
        </w:numPr>
        <w:shd w:val="clear" w:color="auto" w:fill="FFFFFF"/>
        <w:tabs>
          <w:tab w:val="clear" w:pos="709"/>
          <w:tab w:val="left" w:pos="1134" w:leader="none"/>
        </w:tabs>
        <w:ind w:left="0" w:firstLine="709"/>
        <w:jc w:val="both"/>
        <w:rPr>
          <w:bCs/>
        </w:rPr>
      </w:pPr>
      <w:bookmarkStart w:id="21" w:name="_Ref373242517"/>
      <w:bookmarkStart w:id="22" w:name="_Ref361335138"/>
      <w:bookmarkStart w:id="23" w:name="_Ref361336754"/>
      <w:r>
        <w:rPr>
          <w:bCs/>
        </w:rPr>
        <w:t>По завершении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6 к Договору/УПД с приложением Результата работ</w:t>
      </w:r>
      <w:r>
        <w:rPr/>
        <w:t>.</w:t>
      </w:r>
      <w:bookmarkEnd w:id="21"/>
      <w:bookmarkEnd w:id="22"/>
      <w:bookmarkEnd w:id="23"/>
      <w:r>
        <w:rPr/>
        <w:t xml:space="preserve"> </w:t>
      </w:r>
    </w:p>
    <w:p>
      <w:pPr>
        <w:pStyle w:val="ListParagraph"/>
        <w:shd w:val="clear" w:color="auto" w:fill="FFFFFF"/>
        <w:tabs>
          <w:tab w:val="clear" w:pos="709"/>
          <w:tab w:val="left" w:pos="1134" w:leader="none"/>
        </w:tabs>
        <w:ind w:left="0" w:firstLine="709"/>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p>
      <w:pPr>
        <w:pStyle w:val="ListParagraph"/>
        <w:numPr>
          <w:ilvl w:val="1"/>
          <w:numId w:val="22"/>
        </w:numPr>
        <w:shd w:val="clear" w:color="auto" w:fill="FFFFFF"/>
        <w:tabs>
          <w:tab w:val="clear" w:pos="709"/>
          <w:tab w:val="left" w:pos="568" w:leader="none"/>
          <w:tab w:val="left" w:pos="1134" w:leader="none"/>
        </w:tabs>
        <w:ind w:left="0" w:firstLine="709"/>
        <w:jc w:val="both"/>
        <w:rPr>
          <w:bCs/>
        </w:rPr>
      </w:pPr>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работ/УПД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Pr/>
        <w:t xml:space="preserve"> </w:t>
      </w:r>
    </w:p>
    <w:p>
      <w:pPr>
        <w:pStyle w:val="ListParagraph"/>
        <w:numPr>
          <w:ilvl w:val="1"/>
          <w:numId w:val="22"/>
        </w:numPr>
        <w:shd w:val="clear" w:color="auto" w:fill="FFFFFF"/>
        <w:tabs>
          <w:tab w:val="clear" w:pos="709"/>
          <w:tab w:val="left" w:pos="568" w:leader="none"/>
          <w:tab w:val="left" w:pos="1134" w:leader="none"/>
        </w:tabs>
        <w:ind w:left="0" w:firstLine="709"/>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22"/>
        </w:numPr>
        <w:shd w:val="clear" w:color="auto" w:fill="FFFFFF"/>
        <w:tabs>
          <w:tab w:val="clear" w:pos="709"/>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4.1 - 4.2 Договора.</w:t>
      </w:r>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22"/>
        </w:numPr>
        <w:shd w:val="clear" w:color="auto" w:fill="FFFFFF"/>
        <w:tabs>
          <w:tab w:val="clear" w:pos="709"/>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2"/>
        </w:numPr>
        <w:shd w:val="clear" w:color="auto" w:fill="FFFFFF"/>
        <w:tabs>
          <w:tab w:val="clear" w:pos="709"/>
          <w:tab w:val="left" w:pos="1134" w:leader="none"/>
        </w:tabs>
        <w:ind w:left="0" w:firstLine="709"/>
        <w:jc w:val="both"/>
        <w:rPr>
          <w:bCs/>
        </w:rPr>
      </w:pPr>
      <w:bookmarkStart w:id="24" w:name="_Ref361337635"/>
      <w:r>
        <w:rPr>
          <w:bCs/>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pPr>
        <w:pStyle w:val="ListParagraph"/>
        <w:shd w:val="clear" w:color="auto" w:fill="FFFFFF"/>
        <w:tabs>
          <w:tab w:val="clear" w:pos="709"/>
          <w:tab w:val="left" w:pos="1134" w:leader="none"/>
        </w:tabs>
        <w:ind w:left="567" w:hanging="0"/>
        <w:jc w:val="both"/>
        <w:rPr>
          <w:bCs/>
        </w:rPr>
      </w:pPr>
      <w:r>
        <w:rPr>
          <w:bCs/>
        </w:rPr>
      </w:r>
    </w:p>
    <w:p>
      <w:pPr>
        <w:pStyle w:val="ListParagraph"/>
        <w:numPr>
          <w:ilvl w:val="0"/>
          <w:numId w:val="22"/>
        </w:numPr>
        <w:shd w:val="clear" w:color="auto" w:fill="FFFFFF"/>
        <w:tabs>
          <w:tab w:val="clear" w:pos="709"/>
          <w:tab w:val="left" w:pos="284" w:leader="none"/>
        </w:tabs>
        <w:ind w:left="0" w:hanging="0"/>
        <w:jc w:val="center"/>
        <w:rPr>
          <w:b/>
          <w:bCs/>
        </w:rPr>
      </w:pPr>
      <w:r>
        <w:rPr>
          <w:b/>
          <w:bCs/>
        </w:rPr>
        <w:t>Право собственности и переход рисков</w:t>
      </w:r>
    </w:p>
    <w:p>
      <w:pPr>
        <w:pStyle w:val="ListParagraph"/>
        <w:numPr>
          <w:ilvl w:val="1"/>
          <w:numId w:val="22"/>
        </w:numPr>
        <w:shd w:val="clear" w:color="auto" w:fill="FFFFFF"/>
        <w:tabs>
          <w:tab w:val="clear" w:pos="709"/>
          <w:tab w:val="left" w:pos="1134" w:leader="none"/>
        </w:tabs>
        <w:ind w:left="0" w:firstLine="709"/>
        <w:jc w:val="both"/>
        <w:rPr>
          <w:bCs/>
        </w:rPr>
      </w:pPr>
      <w:bookmarkStart w:id="25" w:name="_Ref361405028"/>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6 к Договору/УПД.</w:t>
      </w:r>
      <w:bookmarkEnd w:id="25"/>
    </w:p>
    <w:p>
      <w:pPr>
        <w:pStyle w:val="ListParagraph"/>
        <w:shd w:val="clear" w:color="auto" w:fill="FFFFFF"/>
        <w:tabs>
          <w:tab w:val="clear" w:pos="709"/>
          <w:tab w:val="left" w:pos="0" w:leader="none"/>
          <w:tab w:val="left" w:pos="1134" w:leader="none"/>
        </w:tabs>
        <w:ind w:left="0" w:firstLine="709"/>
        <w:jc w:val="both"/>
        <w:rPr>
          <w:bCs/>
        </w:rPr>
      </w:pPr>
      <w:r>
        <w:rPr>
          <w:bCs/>
        </w:rPr>
      </w:r>
    </w:p>
    <w:p>
      <w:pPr>
        <w:pStyle w:val="ListParagraph"/>
        <w:numPr>
          <w:ilvl w:val="0"/>
          <w:numId w:val="16"/>
        </w:numPr>
        <w:shd w:val="clear" w:color="auto" w:fill="FFFFFF"/>
        <w:tabs>
          <w:tab w:val="clear" w:pos="709"/>
          <w:tab w:val="left" w:pos="284" w:leader="none"/>
        </w:tabs>
        <w:jc w:val="center"/>
        <w:rPr>
          <w:b/>
          <w:bCs/>
        </w:rPr>
      </w:pPr>
      <w:r>
        <w:rPr>
          <w:b/>
          <w:bCs/>
        </w:rPr>
        <w:t>Банковская гарантия</w:t>
      </w:r>
    </w:p>
    <w:p>
      <w:pPr>
        <w:pStyle w:val="ListParagraph"/>
        <w:numPr>
          <w:ilvl w:val="1"/>
          <w:numId w:val="16"/>
        </w:numPr>
        <w:shd w:val="clear" w:color="auto" w:fill="FFFFFF"/>
        <w:tabs>
          <w:tab w:val="clear" w:pos="709"/>
          <w:tab w:val="left" w:pos="1134" w:leader="none"/>
        </w:tabs>
        <w:ind w:left="0" w:firstLine="709"/>
        <w:jc w:val="both"/>
        <w:rPr>
          <w:bCs/>
        </w:rPr>
      </w:pPr>
      <w:r>
        <w:rPr>
          <w:bCs/>
        </w:rPr>
        <w:t>Банковская гарантия, предоставляемая Подрядчиком Заказчику по Договору, должна соответствовать следующим требованиям:</w:t>
      </w:r>
    </w:p>
    <w:p>
      <w:pPr>
        <w:pStyle w:val="ListParagraph"/>
        <w:numPr>
          <w:ilvl w:val="2"/>
          <w:numId w:val="16"/>
        </w:numPr>
        <w:shd w:val="clear" w:color="auto" w:fill="FFFFFF"/>
        <w:tabs>
          <w:tab w:val="clear" w:pos="709"/>
          <w:tab w:val="left" w:pos="1418" w:leader="none"/>
        </w:tabs>
        <w:ind w:left="0" w:firstLine="710"/>
        <w:jc w:val="both"/>
        <w:rPr>
          <w:bCs/>
        </w:rPr>
      </w:pPr>
      <w:r>
        <w:rPr>
          <w:bCs/>
        </w:rPr>
        <w:t>Банковская гарантия должна быть безотзывной и безусловной (гарантия по первому требованию);</w:t>
      </w:r>
    </w:p>
    <w:p>
      <w:pPr>
        <w:pStyle w:val="ListParagraph"/>
        <w:numPr>
          <w:ilvl w:val="2"/>
          <w:numId w:val="16"/>
        </w:numPr>
        <w:shd w:val="clear" w:color="auto" w:fill="FFFFFF"/>
        <w:tabs>
          <w:tab w:val="clear" w:pos="709"/>
          <w:tab w:val="left" w:pos="1418" w:leader="none"/>
        </w:tabs>
        <w:ind w:left="0" w:firstLine="710"/>
        <w:jc w:val="both"/>
        <w:rPr>
          <w:bCs/>
        </w:rPr>
      </w:pPr>
      <w:r>
        <w:rPr>
          <w:bCs/>
        </w:rPr>
        <w:t>Бенефициар по Банковской гарантии – Заказчик, принципал – Подрядчик;</w:t>
      </w:r>
    </w:p>
    <w:p>
      <w:pPr>
        <w:pStyle w:val="ListParagraph"/>
        <w:numPr>
          <w:ilvl w:val="2"/>
          <w:numId w:val="16"/>
        </w:numPr>
        <w:shd w:val="clear" w:color="auto" w:fill="FFFFFF"/>
        <w:tabs>
          <w:tab w:val="clear" w:pos="709"/>
          <w:tab w:val="left" w:pos="1418" w:leader="none"/>
        </w:tabs>
        <w:ind w:left="0" w:firstLine="710"/>
        <w:jc w:val="both"/>
        <w:rPr>
          <w:bCs/>
        </w:rPr>
      </w:pPr>
      <w:r>
        <w:rPr>
          <w:bCs/>
        </w:rPr>
        <w:t>Сумма Банковской гарантии должна быть выражена в валюте расчетов по Договору;</w:t>
      </w:r>
    </w:p>
    <w:p>
      <w:pPr>
        <w:pStyle w:val="ListParagraph"/>
        <w:numPr>
          <w:ilvl w:val="2"/>
          <w:numId w:val="16"/>
        </w:numPr>
        <w:shd w:val="clear" w:color="auto" w:fill="FFFFFF"/>
        <w:tabs>
          <w:tab w:val="clear" w:pos="709"/>
          <w:tab w:val="left" w:pos="1418" w:leader="none"/>
        </w:tabs>
        <w:ind w:left="0" w:firstLine="710"/>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r>
    </w:p>
    <w:p>
      <w:pPr>
        <w:pStyle w:val="ListParagraph"/>
        <w:numPr>
          <w:ilvl w:val="2"/>
          <w:numId w:val="16"/>
        </w:numPr>
        <w:shd w:val="clear" w:color="auto" w:fill="FFFFFF"/>
        <w:tabs>
          <w:tab w:val="clear" w:pos="709"/>
          <w:tab w:val="left" w:pos="1418" w:leader="none"/>
        </w:tabs>
        <w:ind w:left="0" w:firstLine="710"/>
        <w:jc w:val="both"/>
        <w:rPr>
          <w:bCs/>
        </w:rPr>
      </w:pPr>
      <w:r>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нарушения Подрядчиком сроков</w:t>
      </w:r>
      <w:r>
        <w:rPr/>
        <w:t xml:space="preserve"> </w:t>
      </w:r>
      <w:r>
        <w:rPr>
          <w:bCs/>
          <w:sz w:val="24"/>
          <w:szCs w:val="24"/>
        </w:rPr>
        <w:t>выполнения Работ более, чем на 60 (шестьдесят) календарных дней;</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прекращения членства в СРО, основанной на членстве лиц, выполняющих инженерные изыскания / осуществляющих подготовку проектной документации;</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введения арбитражным судом процедуры несостоятельности (банкротства)</w:t>
      </w:r>
      <w:r>
        <w:rPr/>
        <w:t xml:space="preserve"> </w:t>
      </w:r>
      <w:r>
        <w:rPr>
          <w:bCs/>
          <w:sz w:val="24"/>
          <w:szCs w:val="24"/>
        </w:rPr>
        <w:t>в отношении Подрядчика;</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17"/>
        </w:numPr>
        <w:tabs>
          <w:tab w:val="clear" w:pos="709"/>
          <w:tab w:val="left" w:pos="1418" w:leader="none"/>
        </w:tabs>
        <w:spacing w:lineRule="auto" w:line="240"/>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pPr>
        <w:pStyle w:val="Normal"/>
        <w:numPr>
          <w:ilvl w:val="0"/>
          <w:numId w:val="17"/>
        </w:numPr>
        <w:tabs>
          <w:tab w:val="clear" w:pos="709"/>
          <w:tab w:val="left" w:pos="1418" w:leader="none"/>
        </w:tabs>
        <w:spacing w:lineRule="auto" w:line="240"/>
        <w:ind w:left="0" w:firstLine="709"/>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ind w:left="0" w:firstLine="709"/>
        <w:jc w:val="both"/>
        <w:rPr>
          <w:bCs/>
        </w:rPr>
      </w:pPr>
      <w:r>
        <w:rPr>
          <w:bCs/>
        </w:rPr>
        <w:t>Вместе с требованием о предъявлении суммы обеспечения к оплате Заказчик направляет Банку-Гаранту копию Банковской гарантии.</w:t>
      </w:r>
    </w:p>
    <w:p>
      <w:pPr>
        <w:pStyle w:val="ListParagraph"/>
        <w:ind w:left="0" w:firstLine="709"/>
        <w:jc w:val="both"/>
        <w:rPr>
          <w:bCs/>
        </w:rPr>
      </w:pPr>
      <w:r>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pPr>
        <w:pStyle w:val="ListParagraph"/>
        <w:ind w:left="0" w:firstLine="709"/>
        <w:jc w:val="both"/>
        <w:rPr>
          <w:bCs/>
        </w:rPr>
      </w:pPr>
      <w:r>
        <w:rPr/>
        <w:t xml:space="preserve">Банковской гарантией возврата </w:t>
      </w:r>
      <w:r>
        <w:rPr>
          <w:bCs/>
        </w:rPr>
        <w:t xml:space="preserve">авансового платежа </w:t>
      </w:r>
      <w:r>
        <w:rPr/>
        <w:t>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ListParagraph"/>
        <w:ind w:left="0" w:firstLine="709"/>
        <w:jc w:val="both"/>
        <w:rPr>
          <w:bCs/>
        </w:rPr>
      </w:pPr>
      <w:r>
        <w:rPr/>
        <w:t>Выбор формы направления такого требования осуществляется Бенефициаром самостоятельно.</w:t>
      </w:r>
    </w:p>
    <w:p>
      <w:pPr>
        <w:pStyle w:val="ListParagraph"/>
        <w:numPr>
          <w:ilvl w:val="2"/>
          <w:numId w:val="16"/>
        </w:numPr>
        <w:shd w:val="clear" w:color="auto" w:fill="FFFFFF"/>
        <w:tabs>
          <w:tab w:val="clear" w:pos="709"/>
          <w:tab w:val="left" w:pos="1418" w:leader="none"/>
        </w:tabs>
        <w:ind w:left="0" w:firstLine="710"/>
        <w:jc w:val="both"/>
        <w:rPr>
          <w:bCs/>
        </w:rPr>
      </w:pPr>
      <w:r>
        <w:rPr>
          <w:bCs/>
        </w:rPr>
        <w:t>Платеж по Банковской гарантии – осуществляется Банком-Гарантом в течение 10 (десяти) рабочих дней после обращения Заказчика;</w:t>
      </w:r>
    </w:p>
    <w:p>
      <w:pPr>
        <w:pStyle w:val="ListParagraph"/>
        <w:numPr>
          <w:ilvl w:val="2"/>
          <w:numId w:val="16"/>
        </w:numPr>
        <w:shd w:val="clear" w:color="auto" w:fill="FFFFFF"/>
        <w:tabs>
          <w:tab w:val="clear" w:pos="709"/>
          <w:tab w:val="left" w:pos="1418" w:leader="none"/>
        </w:tabs>
        <w:ind w:left="0" w:firstLine="710"/>
        <w:jc w:val="both"/>
        <w:rPr>
          <w:bCs/>
        </w:rPr>
      </w:pPr>
      <w:r>
        <w:rPr>
          <w:bCs/>
        </w:rPr>
        <w:t>Срок окончания Банковской гарантии – не ранее 70 (семидесяти) календарных дней после наступления даты завершения Работ, установленной Договором;</w:t>
      </w:r>
    </w:p>
    <w:p>
      <w:pPr>
        <w:pStyle w:val="ListParagraph"/>
        <w:numPr>
          <w:ilvl w:val="2"/>
          <w:numId w:val="16"/>
        </w:numPr>
        <w:shd w:val="clear" w:color="auto" w:fill="FFFFFF"/>
        <w:tabs>
          <w:tab w:val="clear" w:pos="709"/>
          <w:tab w:val="left" w:pos="1418" w:leader="none"/>
        </w:tabs>
        <w:ind w:left="0" w:firstLine="710"/>
        <w:jc w:val="both"/>
        <w:rPr>
          <w:bCs/>
        </w:rPr>
      </w:pPr>
      <w:r>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pPr>
        <w:pStyle w:val="ListParagraph"/>
        <w:numPr>
          <w:ilvl w:val="2"/>
          <w:numId w:val="16"/>
        </w:numPr>
        <w:shd w:val="clear" w:color="auto" w:fill="FFFFFF"/>
        <w:tabs>
          <w:tab w:val="clear" w:pos="709"/>
          <w:tab w:val="left" w:pos="1418" w:leader="none"/>
        </w:tabs>
        <w:ind w:left="0" w:firstLine="710"/>
        <w:jc w:val="both"/>
        <w:rPr>
          <w:bCs/>
        </w:rPr>
      </w:pPr>
      <w:r>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pPr>
        <w:pStyle w:val="ListParagraph"/>
        <w:numPr>
          <w:ilvl w:val="2"/>
          <w:numId w:val="16"/>
        </w:numPr>
        <w:shd w:val="clear" w:color="auto" w:fill="FFFFFF"/>
        <w:tabs>
          <w:tab w:val="clear" w:pos="709"/>
          <w:tab w:val="left" w:pos="1418" w:leader="none"/>
        </w:tabs>
        <w:ind w:left="0" w:firstLine="710"/>
        <w:jc w:val="both"/>
        <w:rPr>
          <w:bCs/>
        </w:rPr>
      </w:pPr>
      <w:r>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pPr>
        <w:pStyle w:val="ListParagraph"/>
        <w:numPr>
          <w:ilvl w:val="1"/>
          <w:numId w:val="16"/>
        </w:numPr>
        <w:shd w:val="clear" w:color="auto" w:fill="FFFFFF"/>
        <w:tabs>
          <w:tab w:val="clear" w:pos="709"/>
          <w:tab w:val="left" w:pos="1134" w:leader="none"/>
        </w:tabs>
        <w:ind w:left="0" w:firstLine="709"/>
        <w:jc w:val="both"/>
        <w:rPr>
          <w:bCs/>
        </w:rPr>
      </w:pPr>
      <w:r>
        <w:rPr>
          <w:bCs/>
        </w:rPr>
        <w:t>Банк, выдавший Банковскую гарантию, должен соответствовать критериям, указанным в Приложении № 7 к Договору.</w:t>
      </w:r>
    </w:p>
    <w:p>
      <w:pPr>
        <w:pStyle w:val="ListParagraph"/>
        <w:numPr>
          <w:ilvl w:val="1"/>
          <w:numId w:val="16"/>
        </w:numPr>
        <w:shd w:val="clear" w:color="auto" w:fill="FFFFFF"/>
        <w:tabs>
          <w:tab w:val="clear" w:pos="709"/>
          <w:tab w:val="left" w:pos="1134" w:leader="none"/>
        </w:tabs>
        <w:ind w:left="0" w:firstLine="709"/>
        <w:jc w:val="both"/>
        <w:rPr>
          <w:bCs/>
        </w:rPr>
      </w:pPr>
      <w:r>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1"/>
          <w:numId w:val="16"/>
        </w:numPr>
        <w:shd w:val="clear" w:color="auto" w:fill="FFFFFF"/>
        <w:tabs>
          <w:tab w:val="clear" w:pos="709"/>
          <w:tab w:val="left" w:pos="1134" w:leader="none"/>
        </w:tabs>
        <w:ind w:left="0" w:firstLine="709"/>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16"/>
        </w:numPr>
        <w:shd w:val="clear" w:color="auto" w:fill="FFFFFF"/>
        <w:tabs>
          <w:tab w:val="clear" w:pos="709"/>
          <w:tab w:val="left" w:pos="1134" w:leader="none"/>
        </w:tabs>
        <w:ind w:left="0" w:firstLine="709"/>
        <w:jc w:val="both"/>
        <w:rPr>
          <w:bCs/>
        </w:rPr>
      </w:pPr>
      <w:r>
        <w:rPr>
          <w:bCs/>
        </w:rPr>
        <w:t xml:space="preserve">В случаях: </w:t>
      </w:r>
    </w:p>
    <w:p>
      <w:pPr>
        <w:pStyle w:val="ListParagraph"/>
        <w:numPr>
          <w:ilvl w:val="1"/>
          <w:numId w:val="18"/>
        </w:numPr>
        <w:shd w:val="clear" w:color="auto" w:fill="FFFFFF"/>
        <w:tabs>
          <w:tab w:val="clear" w:pos="709"/>
          <w:tab w:val="left" w:pos="1134" w:leader="none"/>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8"/>
        </w:numPr>
        <w:shd w:val="clear" w:color="auto" w:fill="FFFFFF"/>
        <w:tabs>
          <w:tab w:val="clear" w:pos="709"/>
          <w:tab w:val="left" w:pos="1134" w:leader="none"/>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9"/>
          <w:tab w:val="left" w:pos="1134" w:leader="none"/>
        </w:tabs>
        <w:ind w:left="0" w:firstLine="709"/>
        <w:jc w:val="both"/>
        <w:rPr>
          <w:bCs/>
        </w:rPr>
      </w:pPr>
      <w:r>
        <w:rPr>
          <w:bCs/>
        </w:rPr>
        <w:t>Подрядчик обязан предоставить Заказчику новую Банковскую гарантию</w:t>
      </w:r>
      <w:r>
        <w:rPr/>
        <w:t xml:space="preserve"> </w:t>
      </w:r>
      <w:r>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left="0" w:firstLine="709"/>
        <w:jc w:val="both"/>
        <w:rPr>
          <w:bCs/>
        </w:rPr>
      </w:pPr>
      <w:r>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t>.</w:t>
      </w:r>
    </w:p>
    <w:p>
      <w:pPr>
        <w:pStyle w:val="ListParagraph"/>
        <w:numPr>
          <w:ilvl w:val="1"/>
          <w:numId w:val="16"/>
        </w:numPr>
        <w:shd w:val="clear" w:color="auto" w:fill="FFFFFF"/>
        <w:tabs>
          <w:tab w:val="clear" w:pos="709"/>
          <w:tab w:val="left" w:pos="1134" w:leader="none"/>
        </w:tabs>
        <w:ind w:left="0" w:firstLine="709"/>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numPr>
          <w:ilvl w:val="1"/>
          <w:numId w:val="16"/>
        </w:numPr>
        <w:shd w:val="clear" w:color="auto" w:fill="FFFFFF"/>
        <w:tabs>
          <w:tab w:val="clear" w:pos="709"/>
          <w:tab w:val="left" w:pos="1134" w:leader="none"/>
        </w:tabs>
        <w:ind w:left="0" w:firstLine="709"/>
        <w:jc w:val="both"/>
        <w:rPr>
          <w:bCs/>
        </w:rPr>
      </w:pPr>
      <w:r>
        <w:rPr>
          <w:bCs/>
        </w:rPr>
        <w:t xml:space="preserve">Положения пункта 3.5.1 Договора применяются, если по факту выплаты авансового платежа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  </w:t>
      </w:r>
    </w:p>
    <w:p>
      <w:pPr>
        <w:pStyle w:val="ListParagraph"/>
        <w:numPr>
          <w:ilvl w:val="1"/>
          <w:numId w:val="16"/>
        </w:numPr>
        <w:shd w:val="clear" w:color="auto" w:fill="FFFFFF"/>
        <w:tabs>
          <w:tab w:val="clear" w:pos="709"/>
          <w:tab w:val="left" w:pos="1134" w:leader="none"/>
        </w:tabs>
        <w:ind w:left="0" w:firstLine="709"/>
        <w:jc w:val="both"/>
        <w:rPr>
          <w:bCs/>
        </w:rPr>
      </w:pPr>
      <w:r>
        <w:rPr>
          <w:bCs/>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pPr>
        <w:pStyle w:val="ListParagraph"/>
        <w:numPr>
          <w:ilvl w:val="1"/>
          <w:numId w:val="16"/>
        </w:numPr>
        <w:shd w:val="clear" w:color="auto" w:fill="FFFFFF"/>
        <w:tabs>
          <w:tab w:val="clear" w:pos="709"/>
          <w:tab w:val="left" w:pos="1134" w:leader="none"/>
        </w:tabs>
        <w:ind w:left="0" w:firstLine="709"/>
        <w:jc w:val="both"/>
        <w:rPr>
          <w:bCs/>
        </w:rPr>
      </w:pPr>
      <w:r>
        <w:rPr/>
        <w:t>Банковская гарантия предоставляется:</w:t>
      </w:r>
    </w:p>
    <w:p>
      <w:pPr>
        <w:pStyle w:val="ListParagraph"/>
        <w:numPr>
          <w:ilvl w:val="0"/>
          <w:numId w:val="0"/>
        </w:numPr>
        <w:shd w:val="clear" w:color="auto" w:fill="FFFFFF"/>
        <w:tabs>
          <w:tab w:val="clear" w:pos="709"/>
          <w:tab w:val="left" w:pos="1134" w:leader="none"/>
        </w:tabs>
        <w:ind w:left="0" w:hanging="0"/>
        <w:jc w:val="both"/>
        <w:rPr>
          <w:bCs/>
        </w:rPr>
      </w:pPr>
      <w:r>
        <w:rPr/>
        <w:t>-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w:t>
      </w:r>
    </w:p>
    <w:p>
      <w:pPr>
        <w:pStyle w:val="ListParagraph"/>
        <w:numPr>
          <w:ilvl w:val="0"/>
          <w:numId w:val="0"/>
        </w:numPr>
        <w:shd w:val="clear" w:color="auto" w:fill="FFFFFF"/>
        <w:tabs>
          <w:tab w:val="clear" w:pos="709"/>
          <w:tab w:val="left" w:pos="1134" w:leader="none"/>
        </w:tabs>
        <w:ind w:left="0" w:hanging="0"/>
        <w:jc w:val="both"/>
        <w:rPr>
          <w:bCs/>
        </w:rPr>
      </w:pPr>
      <w:r>
        <w:rPr/>
        <w:t xml:space="preserve">          </w:t>
      </w:r>
      <w:r>
        <w:rPr/>
        <w:t>либо</w:t>
      </w:r>
    </w:p>
    <w:p>
      <w:pPr>
        <w:pStyle w:val="ListParagraph"/>
        <w:numPr>
          <w:ilvl w:val="0"/>
          <w:numId w:val="0"/>
        </w:numPr>
        <w:shd w:val="clear" w:color="auto" w:fill="FFFFFF"/>
        <w:tabs>
          <w:tab w:val="clear" w:pos="709"/>
          <w:tab w:val="left" w:pos="1134" w:leader="none"/>
        </w:tabs>
        <w:ind w:left="0" w:hanging="0"/>
        <w:jc w:val="both"/>
        <w:rPr>
          <w:bCs/>
        </w:rPr>
      </w:pPr>
      <w:r>
        <w:rPr/>
        <w:t>- в оригинале на бумажном носителе.</w:t>
      </w:r>
    </w:p>
    <w:p>
      <w:pPr>
        <w:pStyle w:val="ListParagraph"/>
        <w:shd w:val="clear" w:color="auto" w:fill="FFFFFF"/>
        <w:tabs>
          <w:tab w:val="clear" w:pos="709"/>
          <w:tab w:val="left" w:pos="284" w:leader="none"/>
        </w:tabs>
        <w:ind w:left="0" w:hanging="0"/>
        <w:rPr>
          <w:b/>
          <w:bCs/>
        </w:rPr>
      </w:pPr>
      <w:r>
        <w:rPr>
          <w:b/>
          <w:bCs/>
        </w:rPr>
      </w:r>
    </w:p>
    <w:p>
      <w:pPr>
        <w:pStyle w:val="ListParagraph"/>
        <w:numPr>
          <w:ilvl w:val="0"/>
          <w:numId w:val="19"/>
        </w:numPr>
        <w:shd w:val="clear" w:color="auto" w:fill="FFFFFF"/>
        <w:tabs>
          <w:tab w:val="clear" w:pos="709"/>
          <w:tab w:val="left" w:pos="284" w:leader="none"/>
        </w:tabs>
        <w:jc w:val="center"/>
        <w:rPr>
          <w:b/>
          <w:bCs/>
        </w:rPr>
      </w:pPr>
      <w:r>
        <w:rPr>
          <w:b/>
          <w:bCs/>
        </w:rPr>
        <w:t>Ответственность Сторон</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19"/>
        </w:numPr>
        <w:tabs>
          <w:tab w:val="clear" w:pos="709"/>
          <w:tab w:val="left" w:pos="1134" w:leader="none"/>
        </w:tabs>
        <w:spacing w:lineRule="auto" w:line="240"/>
        <w:ind w:left="0" w:firstLine="709"/>
        <w:rPr>
          <w:bCs/>
          <w:sz w:val="24"/>
          <w:szCs w:val="24"/>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9"/>
        </w:numPr>
        <w:tabs>
          <w:tab w:val="clear" w:pos="709"/>
          <w:tab w:val="left" w:pos="1134" w:leader="none"/>
          <w:tab w:val="left" w:pos="1276" w:leader="none"/>
        </w:tabs>
        <w:spacing w:lineRule="auto" w:line="240"/>
        <w:ind w:left="0" w:firstLine="709"/>
        <w:rPr>
          <w:bCs/>
          <w:sz w:val="24"/>
          <w:szCs w:val="24"/>
        </w:rPr>
      </w:pPr>
      <w:r>
        <w:rPr>
          <w:bCs/>
          <w:sz w:val="24"/>
          <w:szCs w:val="24"/>
        </w:rPr>
        <w:t xml:space="preserve">В </w:t>
      </w:r>
      <w:r>
        <w:rPr>
          <w:sz w:val="24"/>
          <w:szCs w:val="24"/>
        </w:rPr>
        <w:t>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r>
        <w:rPr>
          <w:bCs/>
          <w:sz w:val="24"/>
          <w:szCs w:val="24"/>
        </w:rPr>
        <w:t>.</w:t>
      </w:r>
    </w:p>
    <w:p>
      <w:pPr>
        <w:pStyle w:val="Normal"/>
        <w:numPr>
          <w:ilvl w:val="1"/>
          <w:numId w:val="19"/>
        </w:numPr>
        <w:tabs>
          <w:tab w:val="clear" w:pos="709"/>
          <w:tab w:val="left" w:pos="1134" w:leader="none"/>
          <w:tab w:val="left" w:pos="1276"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а также в случае несвоевременного устранения выявленных недостатков Результата работ, Заказчик вправе требовать уплаты Подрядчиком н</w:t>
      </w:r>
      <w:r>
        <w:rPr>
          <w:rFonts w:eastAsia="Calibri"/>
          <w:bCs/>
          <w:sz w:val="24"/>
          <w:szCs w:val="24"/>
        </w:rPr>
        <w:t>еустойки в размере 0,1 (ноль целых и одна десятая) процента от цены Договора за каждый день просрочки.</w:t>
      </w:r>
    </w:p>
    <w:p>
      <w:pPr>
        <w:pStyle w:val="Normal"/>
        <w:numPr>
          <w:ilvl w:val="1"/>
          <w:numId w:val="19"/>
        </w:numPr>
        <w:tabs>
          <w:tab w:val="clear" w:pos="709"/>
          <w:tab w:val="left" w:pos="1134" w:leader="none"/>
          <w:tab w:val="left" w:pos="1276" w:leader="none"/>
        </w:tabs>
        <w:spacing w:lineRule="auto" w:line="240"/>
        <w:ind w:left="0" w:firstLine="709"/>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19"/>
        </w:numPr>
        <w:shd w:val="clear" w:color="auto" w:fill="FFFFFF"/>
        <w:tabs>
          <w:tab w:val="clear" w:pos="709"/>
          <w:tab w:val="left" w:pos="1134" w:leader="none"/>
        </w:tabs>
        <w:ind w:left="0" w:firstLine="709"/>
        <w:jc w:val="both"/>
        <w:rPr>
          <w:bCs/>
        </w:rPr>
      </w:pPr>
      <w:r>
        <w:rPr>
          <w:bCs/>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19"/>
        </w:numPr>
        <w:shd w:val="clear" w:color="auto" w:fill="FFFFFF"/>
        <w:tabs>
          <w:tab w:val="clear" w:pos="709"/>
          <w:tab w:val="left" w:pos="1134" w:leader="none"/>
          <w:tab w:val="left" w:pos="1276" w:leader="none"/>
        </w:tabs>
        <w:ind w:left="0" w:firstLine="709"/>
        <w:jc w:val="both"/>
        <w:rPr>
          <w:bCs/>
        </w:rPr>
      </w:pPr>
      <w:r>
        <w:rPr>
          <w:bCs/>
        </w:rPr>
        <w:t>За непредоставление либо несвоевременное предоставление / переоформление Подрядчиком Банковской гарантии,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19"/>
        </w:numPr>
        <w:shd w:val="clear" w:color="auto" w:fill="FFFFFF"/>
        <w:tabs>
          <w:tab w:val="clear" w:pos="709"/>
          <w:tab w:val="left" w:pos="1134" w:leader="none"/>
          <w:tab w:val="left" w:pos="1276" w:leader="none"/>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9"/>
        </w:numPr>
        <w:shd w:val="clear" w:color="auto" w:fill="FFFFFF"/>
        <w:tabs>
          <w:tab w:val="clear" w:pos="709"/>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9"/>
        </w:numPr>
        <w:shd w:val="clear" w:color="auto" w:fill="FFFFFF"/>
        <w:tabs>
          <w:tab w:val="clear" w:pos="709"/>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9"/>
        </w:numPr>
        <w:shd w:val="clear" w:color="auto" w:fill="FFFFFF"/>
        <w:tabs>
          <w:tab w:val="clear" w:pos="709"/>
          <w:tab w:val="left" w:pos="1134" w:leader="none"/>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Normal"/>
        <w:shd w:val="clear" w:color="auto" w:fill="FFFFFF"/>
        <w:tabs>
          <w:tab w:val="clear" w:pos="709"/>
          <w:tab w:val="left" w:pos="566" w:leader="none"/>
        </w:tabs>
        <w:spacing w:lineRule="auto" w:line="240"/>
        <w:ind w:hanging="0"/>
        <w:rPr>
          <w:color w:val="000000"/>
          <w:sz w:val="24"/>
          <w:szCs w:val="24"/>
        </w:rPr>
      </w:pPr>
      <w:r>
        <w:rPr>
          <w:color w:val="000000"/>
          <w:sz w:val="24"/>
          <w:szCs w:val="24"/>
        </w:rPr>
      </w:r>
    </w:p>
    <w:p>
      <w:pPr>
        <w:pStyle w:val="ListParagraph"/>
        <w:numPr>
          <w:ilvl w:val="0"/>
          <w:numId w:val="19"/>
        </w:numPr>
        <w:shd w:val="clear" w:color="auto" w:fill="FFFFFF"/>
        <w:tabs>
          <w:tab w:val="clear" w:pos="709"/>
          <w:tab w:val="left" w:pos="426" w:leader="none"/>
        </w:tabs>
        <w:ind w:left="0" w:hanging="0"/>
        <w:jc w:val="center"/>
        <w:rPr>
          <w:b/>
          <w:bCs/>
        </w:rPr>
      </w:pPr>
      <w:r>
        <w:rPr>
          <w:b/>
          <w:bCs/>
        </w:rPr>
        <w:t>Исключительные права и патенты</w:t>
      </w:r>
    </w:p>
    <w:p>
      <w:pPr>
        <w:pStyle w:val="ListParagraph"/>
        <w:numPr>
          <w:ilvl w:val="1"/>
          <w:numId w:val="19"/>
        </w:numPr>
        <w:shd w:val="clear" w:color="auto" w:fill="FFFFFF"/>
        <w:tabs>
          <w:tab w:val="clear" w:pos="709"/>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pPr>
        <w:pStyle w:val="ListParagraph"/>
        <w:numPr>
          <w:ilvl w:val="1"/>
          <w:numId w:val="19"/>
        </w:numPr>
        <w:shd w:val="clear" w:color="auto" w:fill="FFFFFF"/>
        <w:tabs>
          <w:tab w:val="clear" w:pos="709"/>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9"/>
        </w:numPr>
        <w:shd w:val="clear" w:color="auto" w:fill="FFFFFF"/>
        <w:tabs>
          <w:tab w:val="clear" w:pos="709"/>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19"/>
        </w:numPr>
        <w:shd w:val="clear" w:color="auto" w:fill="FFFFFF"/>
        <w:tabs>
          <w:tab w:val="clear" w:pos="709"/>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9"/>
        </w:numPr>
        <w:shd w:val="clear" w:color="auto" w:fill="FFFFFF"/>
        <w:tabs>
          <w:tab w:val="clear" w:pos="709"/>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19"/>
        </w:numPr>
        <w:shd w:val="clear" w:color="auto" w:fill="FFFFFF"/>
        <w:tabs>
          <w:tab w:val="clear" w:pos="709"/>
          <w:tab w:val="left" w:pos="426" w:leader="none"/>
        </w:tabs>
        <w:ind w:left="0" w:hanging="0"/>
        <w:jc w:val="center"/>
        <w:rPr>
          <w:b/>
          <w:bCs/>
        </w:rPr>
      </w:pPr>
      <w:r>
        <w:rPr>
          <w:b/>
          <w:bCs/>
        </w:rPr>
        <w:t>Конфиденциальность</w:t>
      </w:r>
    </w:p>
    <w:p>
      <w:pPr>
        <w:pStyle w:val="ListParagraph"/>
        <w:numPr>
          <w:ilvl w:val="1"/>
          <w:numId w:val="19"/>
        </w:numPr>
        <w:shd w:val="clear" w:color="auto" w:fill="FFFFFF"/>
        <w:tabs>
          <w:tab w:val="clear" w:pos="709"/>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9"/>
        </w:numPr>
        <w:shd w:val="clear" w:color="auto" w:fill="FFFFFF"/>
        <w:tabs>
          <w:tab w:val="clear" w:pos="709"/>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9"/>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9"/>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9"/>
        </w:numPr>
        <w:shd w:val="clear" w:color="auto" w:fill="FFFFFF"/>
        <w:tabs>
          <w:tab w:val="clear" w:pos="709"/>
          <w:tab w:val="left" w:pos="1134" w:leader="none"/>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6"/>
      <w:r>
        <w:rPr>
          <w:bCs/>
        </w:rPr>
        <w:t xml:space="preserve"> </w:t>
      </w:r>
    </w:p>
    <w:p>
      <w:pPr>
        <w:pStyle w:val="ListParagraph"/>
        <w:numPr>
          <w:ilvl w:val="2"/>
          <w:numId w:val="19"/>
        </w:numPr>
        <w:shd w:val="clear" w:color="auto" w:fill="FFFFFF"/>
        <w:tabs>
          <w:tab w:val="clear" w:pos="709"/>
          <w:tab w:val="left" w:pos="1418"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19"/>
        </w:numPr>
        <w:shd w:val="clear" w:color="auto" w:fill="FFFFFF"/>
        <w:tabs>
          <w:tab w:val="clear" w:pos="709"/>
          <w:tab w:val="left" w:pos="1418"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9"/>
        </w:numPr>
        <w:shd w:val="clear" w:color="auto" w:fill="FFFFFF"/>
        <w:tabs>
          <w:tab w:val="clear" w:pos="709"/>
          <w:tab w:val="left" w:pos="1418"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9"/>
        </w:numPr>
        <w:shd w:val="clear" w:color="auto" w:fill="FFFFFF"/>
        <w:tabs>
          <w:tab w:val="clear" w:pos="709"/>
          <w:tab w:val="left" w:pos="1418"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9"/>
        </w:numPr>
        <w:shd w:val="clear" w:color="auto" w:fill="FFFFFF"/>
        <w:tabs>
          <w:tab w:val="clear" w:pos="709"/>
          <w:tab w:val="left" w:pos="1418"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9"/>
        </w:numPr>
        <w:shd w:val="clear" w:color="auto" w:fill="FFFFFF"/>
        <w:tabs>
          <w:tab w:val="clear" w:pos="709"/>
          <w:tab w:val="left" w:pos="1418"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9"/>
        </w:numPr>
        <w:shd w:val="clear" w:color="auto" w:fill="FFFFFF"/>
        <w:tabs>
          <w:tab w:val="clear" w:pos="709"/>
          <w:tab w:val="left" w:pos="1418" w:leader="none"/>
        </w:tabs>
        <w:ind w:left="0" w:firstLine="709"/>
        <w:jc w:val="both"/>
        <w:rPr>
          <w:bCs/>
        </w:rPr>
      </w:pPr>
      <w:bookmarkStart w:id="27"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pPr>
        <w:pStyle w:val="ListParagraph"/>
        <w:numPr>
          <w:ilvl w:val="2"/>
          <w:numId w:val="19"/>
        </w:numPr>
        <w:shd w:val="clear" w:color="auto" w:fill="FFFFFF"/>
        <w:tabs>
          <w:tab w:val="clear" w:pos="709"/>
          <w:tab w:val="left" w:pos="1418"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9"/>
        </w:numPr>
        <w:shd w:val="clear" w:color="auto" w:fill="FFFFFF"/>
        <w:tabs>
          <w:tab w:val="clear" w:pos="709"/>
          <w:tab w:val="left" w:pos="1134" w:leader="none"/>
        </w:tabs>
        <w:ind w:left="0" w:firstLine="709"/>
        <w:jc w:val="both"/>
        <w:rPr>
          <w:bCs/>
        </w:rPr>
      </w:pPr>
      <w:bookmarkStart w:id="28"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8"/>
    </w:p>
    <w:p>
      <w:pPr>
        <w:pStyle w:val="ListParagraph"/>
        <w:numPr>
          <w:ilvl w:val="1"/>
          <w:numId w:val="19"/>
        </w:numPr>
        <w:shd w:val="clear" w:color="auto" w:fill="FFFFFF"/>
        <w:tabs>
          <w:tab w:val="clear" w:pos="709"/>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bCs/>
        </w:rPr>
      </w:pPr>
      <w:r>
        <w:rPr>
          <w:b/>
          <w:bCs/>
        </w:rPr>
      </w:r>
    </w:p>
    <w:p>
      <w:pPr>
        <w:pStyle w:val="ListParagraph"/>
        <w:numPr>
          <w:ilvl w:val="0"/>
          <w:numId w:val="19"/>
        </w:numPr>
        <w:shd w:val="clear" w:color="auto" w:fill="FFFFFF"/>
        <w:tabs>
          <w:tab w:val="clear" w:pos="709"/>
          <w:tab w:val="left" w:pos="426" w:leader="none"/>
        </w:tabs>
        <w:ind w:left="0" w:hanging="0"/>
        <w:jc w:val="center"/>
        <w:rPr>
          <w:bCs/>
        </w:rPr>
      </w:pPr>
      <w:r>
        <w:rPr>
          <w:b/>
          <w:bCs/>
        </w:rPr>
        <w:t>Разрешение споров</w:t>
      </w:r>
    </w:p>
    <w:p>
      <w:pPr>
        <w:pStyle w:val="ListParagraph"/>
        <w:numPr>
          <w:ilvl w:val="1"/>
          <w:numId w:val="19"/>
        </w:numPr>
        <w:shd w:val="clear" w:color="auto" w:fill="FFFFFF"/>
        <w:tabs>
          <w:tab w:val="clear" w:pos="709"/>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9"/>
        </w:numPr>
        <w:shd w:val="clear" w:color="auto" w:fill="FFFFFF"/>
        <w:tabs>
          <w:tab w:val="clear" w:pos="709"/>
          <w:tab w:val="left" w:pos="1134" w:leader="none"/>
          <w:tab w:val="left" w:pos="1418" w:leader="none"/>
        </w:tabs>
        <w:ind w:left="0" w:firstLine="709"/>
        <w:jc w:val="both"/>
        <w:rPr>
          <w:bCs/>
        </w:rPr>
      </w:pPr>
      <w:r>
        <w:rPr>
          <w:bCs/>
        </w:rPr>
        <w:t>Споры, указанные в пункте 10.1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pPr>
        <w:pStyle w:val="ListParagraph"/>
        <w:numPr>
          <w:ilvl w:val="1"/>
          <w:numId w:val="19"/>
        </w:numPr>
        <w:shd w:val="clear" w:color="auto" w:fill="FFFFFF"/>
        <w:tabs>
          <w:tab w:val="clear" w:pos="709"/>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pPr>
        <w:pStyle w:val="ListParagraph"/>
        <w:numPr>
          <w:ilvl w:val="1"/>
          <w:numId w:val="19"/>
        </w:numPr>
        <w:shd w:val="clear" w:color="auto" w:fill="FFFFFF"/>
        <w:tabs>
          <w:tab w:val="clear" w:pos="709"/>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9"/>
        </w:numPr>
        <w:shd w:val="clear" w:color="auto" w:fill="FFFFFF"/>
        <w:tabs>
          <w:tab w:val="clear" w:pos="709"/>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418" w:leader="none"/>
        </w:tabs>
        <w:ind w:left="0" w:firstLine="567"/>
        <w:jc w:val="both"/>
        <w:rPr>
          <w:b/>
          <w:bCs/>
        </w:rPr>
      </w:pPr>
      <w:r>
        <w:rPr>
          <w:b/>
          <w:bCs/>
        </w:rPr>
      </w:r>
    </w:p>
    <w:p>
      <w:pPr>
        <w:pStyle w:val="ListParagraph"/>
        <w:numPr>
          <w:ilvl w:val="0"/>
          <w:numId w:val="19"/>
        </w:numPr>
        <w:shd w:val="clear" w:color="auto" w:fill="FFFFFF"/>
        <w:tabs>
          <w:tab w:val="clear" w:pos="709"/>
          <w:tab w:val="left" w:pos="426" w:leader="none"/>
        </w:tabs>
        <w:ind w:left="0" w:hanging="0"/>
        <w:jc w:val="center"/>
        <w:rPr>
          <w:b/>
          <w:bCs/>
        </w:rPr>
      </w:pPr>
      <w:r>
        <w:rPr>
          <w:b/>
          <w:bCs/>
        </w:rPr>
        <w:t>Антикоррупционная оговорка</w:t>
      </w:r>
    </w:p>
    <w:p>
      <w:pPr>
        <w:pStyle w:val="Normal"/>
        <w:shd w:val="clear" w:color="auto" w:fill="FFFFFF"/>
        <w:tabs>
          <w:tab w:val="clear" w:pos="709"/>
          <w:tab w:val="left" w:pos="1134" w:leader="none"/>
        </w:tabs>
        <w:spacing w:lineRule="auto" w:line="240"/>
        <w:ind w:firstLine="709"/>
        <w:rPr>
          <w:bCs/>
          <w:color w:val="000000"/>
          <w:sz w:val="24"/>
          <w:szCs w:val="24"/>
        </w:rPr>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spacing w:lineRule="auto" w:line="240"/>
        <w:ind w:firstLine="709"/>
        <w:rPr>
          <w:bCs/>
          <w:color w:val="000000"/>
          <w:sz w:val="24"/>
          <w:szCs w:val="24"/>
        </w:rPr>
      </w:pPr>
      <w:r>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spacing w:lineRule="auto" w:line="240"/>
        <w:ind w:firstLine="709"/>
        <w:rPr>
          <w:bCs/>
          <w:color w:val="000000"/>
          <w:sz w:val="24"/>
          <w:szCs w:val="24"/>
        </w:rPr>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spacing w:lineRule="auto" w:line="240"/>
        <w:ind w:firstLine="709"/>
        <w:rPr>
          <w:bCs/>
          <w:color w:val="000000"/>
          <w:sz w:val="24"/>
          <w:szCs w:val="24"/>
        </w:rPr>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spacing w:lineRule="auto" w:line="240"/>
        <w:ind w:firstLine="709"/>
        <w:rPr>
          <w:bCs/>
          <w:color w:val="000000"/>
          <w:sz w:val="24"/>
          <w:szCs w:val="24"/>
        </w:rPr>
      </w:pPr>
      <w:r>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spacing w:lineRule="auto" w:line="240"/>
        <w:ind w:firstLine="709"/>
        <w:rPr>
          <w:bCs/>
          <w:color w:val="000000"/>
          <w:sz w:val="24"/>
          <w:szCs w:val="24"/>
        </w:rPr>
      </w:pPr>
      <w:r>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shd w:val="clear" w:color="auto" w:fill="FFFFFF"/>
        <w:tabs>
          <w:tab w:val="clear" w:pos="709"/>
          <w:tab w:val="left" w:pos="567" w:leader="none"/>
          <w:tab w:val="left" w:pos="1134" w:leader="none"/>
        </w:tabs>
        <w:spacing w:lineRule="auto" w:line="240"/>
        <w:ind w:firstLine="709"/>
        <w:rPr>
          <w:color w:val="000000"/>
          <w:sz w:val="24"/>
          <w:szCs w:val="24"/>
        </w:rPr>
      </w:pPr>
      <w:r>
        <w:rPr>
          <w:color w:val="000000"/>
          <w:sz w:val="24"/>
          <w:szCs w:val="24"/>
        </w:rPr>
        <w:t xml:space="preserve">11.7.  Каналы связи Линия доверия Группы РусГидро: </w:t>
      </w:r>
    </w:p>
    <w:p>
      <w:pPr>
        <w:pStyle w:val="Normal"/>
        <w:widowControl w:val="false"/>
        <w:shd w:val="clear" w:color="auto" w:fill="FFFFFF"/>
        <w:tabs>
          <w:tab w:val="clear" w:pos="709"/>
          <w:tab w:val="left" w:pos="567" w:leader="none"/>
          <w:tab w:val="left" w:pos="1134" w:leader="none"/>
        </w:tabs>
        <w:spacing w:lineRule="auto" w:line="240"/>
        <w:ind w:firstLine="709"/>
        <w:rPr>
          <w:sz w:val="24"/>
          <w:szCs w:val="24"/>
        </w:rPr>
      </w:pPr>
      <w:r>
        <w:rPr>
          <w:sz w:val="24"/>
          <w:szCs w:val="24"/>
        </w:rPr>
        <w:t>11.7.1. Электронная почта: ld@rushydro.ru.</w:t>
      </w:r>
    </w:p>
    <w:p>
      <w:pPr>
        <w:pStyle w:val="Normal"/>
        <w:widowControl w:val="false"/>
        <w:shd w:val="clear" w:color="auto" w:fill="FFFFFF"/>
        <w:tabs>
          <w:tab w:val="clear" w:pos="709"/>
          <w:tab w:val="left" w:pos="567" w:leader="none"/>
          <w:tab w:val="left" w:pos="1134" w:leader="none"/>
        </w:tabs>
        <w:spacing w:lineRule="auto" w:line="240"/>
        <w:ind w:firstLine="709"/>
        <w:rPr>
          <w:sz w:val="24"/>
          <w:szCs w:val="24"/>
        </w:rPr>
      </w:pPr>
      <w:r>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ind w:firstLine="709"/>
        <w:rPr>
          <w:sz w:val="24"/>
          <w:szCs w:val="24"/>
        </w:rPr>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spacing w:lineRule="auto" w:line="240"/>
        <w:ind w:firstLine="709"/>
        <w:rPr>
          <w:sz w:val="24"/>
          <w:szCs w:val="24"/>
        </w:rPr>
      </w:pPr>
      <w:r>
        <w:rPr>
          <w:sz w:val="24"/>
          <w:szCs w:val="24"/>
        </w:rPr>
      </w:r>
    </w:p>
    <w:p>
      <w:pPr>
        <w:pStyle w:val="ListParagraph"/>
        <w:numPr>
          <w:ilvl w:val="0"/>
          <w:numId w:val="19"/>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19"/>
        </w:numPr>
        <w:shd w:val="clear" w:color="auto" w:fill="FFFFFF"/>
        <w:tabs>
          <w:tab w:val="clear" w:pos="709"/>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9"/>
        </w:numPr>
        <w:shd w:val="clear" w:color="auto" w:fill="FFFFFF"/>
        <w:tabs>
          <w:tab w:val="clear" w:pos="709"/>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9"/>
        </w:numPr>
        <w:shd w:val="clear" w:color="auto" w:fill="FFFFFF"/>
        <w:tabs>
          <w:tab w:val="clear" w:pos="709"/>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9"/>
        </w:numPr>
        <w:shd w:val="clear" w:color="auto" w:fill="FFFFFF"/>
        <w:tabs>
          <w:tab w:val="clear" w:pos="709"/>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9"/>
        </w:numPr>
        <w:shd w:val="clear" w:color="auto" w:fill="FFFFFF"/>
        <w:tabs>
          <w:tab w:val="clear" w:pos="709"/>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9"/>
        </w:numPr>
        <w:shd w:val="clear" w:color="auto" w:fill="FFFFFF"/>
        <w:tabs>
          <w:tab w:val="clear" w:pos="709"/>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19"/>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19"/>
        </w:numPr>
        <w:shd w:val="clear" w:color="auto" w:fill="FFFFFF"/>
        <w:tabs>
          <w:tab w:val="clear" w:pos="709"/>
          <w:tab w:val="left" w:pos="1134" w:leader="none"/>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2"/>
        </w:numPr>
        <w:shd w:val="clear" w:color="auto" w:fill="FFFFFF"/>
        <w:tabs>
          <w:tab w:val="clear" w:pos="709"/>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r>
          <w:rPr>
            <w:bCs/>
          </w:rPr>
          <w:t>№ 18162/09</w:t>
        </w:r>
      </w:hyperlink>
      <w:r>
        <w:rPr>
          <w:bCs/>
        </w:rPr>
        <w:t xml:space="preserve"> и от 25.05.2010 </w:t>
      </w:r>
      <w:hyperlink r:id="rId5">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2"/>
        </w:numPr>
        <w:shd w:val="clear" w:color="auto" w:fill="FFFFFF"/>
        <w:tabs>
          <w:tab w:val="clear" w:pos="709"/>
          <w:tab w:val="left" w:pos="1134" w:leader="none"/>
        </w:tabs>
        <w:ind w:left="0" w:firstLine="709"/>
        <w:jc w:val="both"/>
        <w:rPr>
          <w:bCs/>
        </w:rPr>
      </w:pPr>
      <w:r>
        <w:rPr>
          <w:bCs/>
        </w:rPr>
        <w:t xml:space="preserve">соответствующие </w:t>
      </w:r>
      <w:hyperlink r:id="rId6">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pPr>
        <w:pStyle w:val="ListParagraph"/>
        <w:numPr>
          <w:ilvl w:val="1"/>
          <w:numId w:val="19"/>
        </w:numPr>
        <w:shd w:val="clear" w:color="auto" w:fill="FFFFFF"/>
        <w:tabs>
          <w:tab w:val="clear" w:pos="709"/>
          <w:tab w:val="left" w:pos="1134" w:leader="none"/>
        </w:tabs>
        <w:ind w:left="0" w:firstLine="709"/>
        <w:jc w:val="both"/>
        <w:rPr>
          <w:bCs/>
        </w:rPr>
      </w:pPr>
      <w:bookmarkStart w:id="30"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0"/>
    </w:p>
    <w:p>
      <w:pPr>
        <w:pStyle w:val="ListParagraph"/>
        <w:numPr>
          <w:ilvl w:val="1"/>
          <w:numId w:val="19"/>
        </w:numPr>
        <w:shd w:val="clear" w:color="auto" w:fill="FFFFFF"/>
        <w:tabs>
          <w:tab w:val="clear" w:pos="709"/>
          <w:tab w:val="left" w:pos="1134" w:leader="none"/>
        </w:tabs>
        <w:ind w:left="0" w:firstLine="709"/>
        <w:jc w:val="both"/>
        <w:rPr>
          <w:bCs/>
        </w:rPr>
      </w:pPr>
      <w:bookmarkStart w:id="31"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pPr>
        <w:pStyle w:val="ListParagraph"/>
        <w:numPr>
          <w:ilvl w:val="1"/>
          <w:numId w:val="19"/>
        </w:numPr>
        <w:shd w:val="clear" w:color="auto" w:fill="FFFFFF"/>
        <w:tabs>
          <w:tab w:val="clear" w:pos="709"/>
          <w:tab w:val="left" w:pos="1134" w:leader="none"/>
        </w:tabs>
        <w:ind w:left="0" w:firstLine="709"/>
        <w:jc w:val="both"/>
        <w:rPr>
          <w:bCs/>
        </w:rPr>
      </w:pPr>
      <w:bookmarkStart w:id="32"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2"/>
    </w:p>
    <w:p>
      <w:pPr>
        <w:pStyle w:val="ListParagraph"/>
        <w:numPr>
          <w:ilvl w:val="1"/>
          <w:numId w:val="19"/>
        </w:numPr>
        <w:shd w:val="clear" w:color="auto" w:fill="FFFFFF"/>
        <w:tabs>
          <w:tab w:val="clear" w:pos="709"/>
          <w:tab w:val="left" w:pos="1134" w:leader="none"/>
        </w:tabs>
        <w:ind w:left="0" w:firstLine="709"/>
        <w:jc w:val="both"/>
        <w:rPr>
          <w:bCs/>
        </w:rPr>
      </w:pPr>
      <w:bookmarkStart w:id="33"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3"/>
    </w:p>
    <w:p>
      <w:pPr>
        <w:pStyle w:val="ListParagraph"/>
        <w:numPr>
          <w:ilvl w:val="1"/>
          <w:numId w:val="19"/>
        </w:numPr>
        <w:shd w:val="clear" w:color="auto" w:fill="FFFFFF"/>
        <w:tabs>
          <w:tab w:val="clear" w:pos="709"/>
          <w:tab w:val="left" w:pos="1134" w:leader="none"/>
        </w:tabs>
        <w:ind w:left="0" w:firstLine="709"/>
        <w:jc w:val="both"/>
        <w:rPr>
          <w:bCs/>
        </w:rPr>
      </w:pPr>
      <w:bookmarkStart w:id="3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4"/>
    </w:p>
    <w:p>
      <w:pPr>
        <w:pStyle w:val="ListParagraph"/>
        <w:numPr>
          <w:ilvl w:val="1"/>
          <w:numId w:val="19"/>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567" w:leader="none"/>
        </w:tabs>
        <w:ind w:left="0" w:hanging="0"/>
        <w:jc w:val="both"/>
        <w:rPr>
          <w:bCs/>
        </w:rPr>
      </w:pPr>
      <w:r>
        <w:rPr>
          <w:bCs/>
        </w:rPr>
      </w:r>
    </w:p>
    <w:p>
      <w:pPr>
        <w:pStyle w:val="ListParagraph"/>
        <w:numPr>
          <w:ilvl w:val="0"/>
          <w:numId w:val="19"/>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19"/>
        </w:numPr>
        <w:shd w:val="clear" w:color="auto" w:fill="FFFFFF"/>
        <w:tabs>
          <w:tab w:val="clear" w:pos="709"/>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9"/>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9"/>
        </w:numPr>
        <w:shd w:val="clear" w:color="auto" w:fill="FFFFFF"/>
        <w:tabs>
          <w:tab w:val="clear" w:pos="709"/>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1"/>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1"/>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1"/>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1"/>
        </w:numPr>
        <w:shd w:val="clear" w:color="auto" w:fill="FFFFFF"/>
        <w:tabs>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состоит в СРО, основанной на членстве лиц, выполняющих инженерные изыскания / подготовку проектной документации;</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w:t>
      </w:r>
    </w:p>
    <w:p>
      <w:pPr>
        <w:pStyle w:val="Normal"/>
        <w:numPr>
          <w:ilvl w:val="1"/>
          <w:numId w:val="19"/>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9"/>
        </w:numPr>
        <w:shd w:val="clear" w:color="auto" w:fill="FFFFFF"/>
        <w:tabs>
          <w:tab w:val="clear" w:pos="709"/>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9"/>
        </w:numPr>
        <w:shd w:val="clear" w:color="auto" w:fill="FFFFFF"/>
        <w:tabs>
          <w:tab w:val="clear" w:pos="709"/>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b/>
        </w:rPr>
      </w:pPr>
      <w:r>
        <w:rPr>
          <w:b/>
        </w:rPr>
      </w:r>
    </w:p>
    <w:p>
      <w:pPr>
        <w:pStyle w:val="ListParagraph"/>
        <w:numPr>
          <w:ilvl w:val="0"/>
          <w:numId w:val="19"/>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19"/>
        </w:numPr>
        <w:shd w:val="clear" w:color="auto" w:fill="FFFFFF"/>
        <w:tabs>
          <w:tab w:val="clear" w:pos="709"/>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9"/>
        </w:numPr>
        <w:shd w:val="clear" w:color="auto" w:fill="FFFFFF"/>
        <w:tabs>
          <w:tab w:val="clear" w:pos="709"/>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9"/>
        </w:numPr>
        <w:shd w:val="clear" w:color="auto" w:fill="FFFFFF"/>
        <w:tabs>
          <w:tab w:val="clear" w:pos="709"/>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9"/>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8"/>
        </w:numPr>
        <w:tabs>
          <w:tab w:val="clear" w:pos="709"/>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pPr>
        <w:pStyle w:val="ListParagraph"/>
        <w:numPr>
          <w:ilvl w:val="0"/>
          <w:numId w:val="8"/>
        </w:numPr>
        <w:tabs>
          <w:tab w:val="clear" w:pos="709"/>
          <w:tab w:val="left" w:pos="1134" w:leader="none"/>
        </w:tabs>
        <w:ind w:left="0" w:right="23" w:firstLine="709"/>
        <w:jc w:val="both"/>
        <w:rPr/>
      </w:pPr>
      <w:r>
        <w:rPr/>
        <w:t>несоблюдение Подрядчиком требований к качеству Работ</w:t>
      </w:r>
      <w:r>
        <w:rPr>
          <w:bCs/>
        </w:rPr>
        <w:t>,</w:t>
      </w:r>
      <w:r>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8"/>
        </w:numPr>
        <w:tabs>
          <w:tab w:val="clear" w:pos="709"/>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8"/>
        </w:numPr>
        <w:tabs>
          <w:tab w:val="clear" w:pos="709"/>
          <w:tab w:val="left" w:pos="1134" w:leader="none"/>
        </w:tabs>
        <w:ind w:left="0" w:right="23" w:firstLine="709"/>
        <w:jc w:val="both"/>
        <w:rPr/>
      </w:pPr>
      <w:r>
        <w:rPr/>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p>
    <w:p>
      <w:pPr>
        <w:pStyle w:val="ListParagraph"/>
        <w:numPr>
          <w:ilvl w:val="0"/>
          <w:numId w:val="8"/>
        </w:numPr>
        <w:tabs>
          <w:tab w:val="clear" w:pos="709"/>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2"/>
      </w:r>
    </w:p>
    <w:p>
      <w:pPr>
        <w:pStyle w:val="ListParagraph"/>
        <w:numPr>
          <w:ilvl w:val="0"/>
          <w:numId w:val="8"/>
        </w:numPr>
        <w:tabs>
          <w:tab w:val="clear" w:pos="709"/>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8"/>
        </w:numPr>
        <w:tabs>
          <w:tab w:val="clear" w:pos="709"/>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8"/>
        </w:numPr>
        <w:tabs>
          <w:tab w:val="clear" w:pos="709"/>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8"/>
        </w:numPr>
        <w:tabs>
          <w:tab w:val="clear" w:pos="709"/>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19"/>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9"/>
        </w:numPr>
        <w:shd w:val="clear" w:color="auto" w:fill="FFFFFF"/>
        <w:tabs>
          <w:tab w:val="clear" w:pos="709"/>
          <w:tab w:val="left" w:pos="1134" w:leader="none"/>
        </w:tabs>
        <w:ind w:left="0" w:firstLine="709"/>
        <w:jc w:val="both"/>
        <w:rPr/>
      </w:pPr>
      <w:r>
        <w:rPr/>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pPr>
        <w:pStyle w:val="ListParagraph"/>
        <w:numPr>
          <w:ilvl w:val="1"/>
          <w:numId w:val="19"/>
        </w:numPr>
        <w:shd w:val="clear" w:color="auto" w:fill="FFFFFF"/>
        <w:tabs>
          <w:tab w:val="clear" w:pos="709"/>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134" w:leader="none"/>
        </w:tabs>
        <w:ind w:left="709" w:hanging="0"/>
        <w:jc w:val="both"/>
        <w:rPr/>
      </w:pPr>
      <w:r>
        <w:rPr/>
      </w:r>
    </w:p>
    <w:p>
      <w:pPr>
        <w:pStyle w:val="ListParagraph"/>
        <w:numPr>
          <w:ilvl w:val="0"/>
          <w:numId w:val="19"/>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numPr>
          <w:ilvl w:val="1"/>
          <w:numId w:val="19"/>
        </w:numPr>
        <w:shd w:val="clear" w:color="auto" w:fill="FFFFFF"/>
        <w:tabs>
          <w:tab w:val="clear" w:pos="709"/>
          <w:tab w:val="left" w:pos="1134" w:leader="none"/>
        </w:tabs>
        <w:ind w:left="0" w:firstLine="709"/>
        <w:jc w:val="both"/>
        <w:rPr/>
      </w:pPr>
      <w:r>
        <w:rPr/>
        <w:t xml:space="preserve">Договор вступает в силу с даты его подписания Сторонами и действует до полного исполнения ими принятых на себя обязательств. </w:t>
      </w:r>
    </w:p>
    <w:p>
      <w:pPr>
        <w:pStyle w:val="Normal"/>
        <w:numPr>
          <w:ilvl w:val="1"/>
          <w:numId w:val="19"/>
        </w:numPr>
        <w:snapToGrid w:val="false"/>
        <w:spacing w:lineRule="auto" w:line="240"/>
        <w:ind w:left="0" w:firstLine="709"/>
        <w:rPr>
          <w:sz w:val="24"/>
          <w:szCs w:val="24"/>
        </w:rPr>
      </w:pPr>
      <w:r>
        <w:rPr>
          <w:sz w:val="24"/>
          <w:szCs w:val="24"/>
        </w:rPr>
        <w:t>Договор заключается в электронной форме с использованием программно-аппаратных средств путем его подписания усиленными квалифицированными электронными подписями (далее – УКЭП) уполномоченных представителей Сторон</w:t>
      </w:r>
      <w:r>
        <w:rPr>
          <w:rStyle w:val="FootnoteReference"/>
          <w:sz w:val="24"/>
          <w:szCs w:val="24"/>
          <w:highlight w:val="lightGray"/>
          <w:lang w:eastAsia="en-US"/>
        </w:rPr>
        <w:footnoteReference w:id="3"/>
      </w:r>
      <w:r>
        <w:rPr>
          <w:sz w:val="24"/>
          <w:szCs w:val="24"/>
          <w:highlight w:val="lightGray"/>
          <w:lang w:eastAsia="en-US"/>
        </w:rPr>
        <w:t>.</w:t>
      </w:r>
      <w:r>
        <w:rPr>
          <w:sz w:val="24"/>
          <w:szCs w:val="24"/>
        </w:rPr>
        <w:t xml:space="preserve"> </w:t>
      </w:r>
    </w:p>
    <w:p>
      <w:pPr>
        <w:pStyle w:val="ListParagraph"/>
        <w:ind w:left="0" w:firstLine="709"/>
        <w:jc w:val="both"/>
        <w:rPr>
          <w:lang w:eastAsia="en-US"/>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lang w:eastAsia="en-US"/>
        </w:rPr>
        <w:t xml:space="preserve">. </w:t>
      </w:r>
    </w:p>
    <w:p>
      <w:pPr>
        <w:pStyle w:val="ListParagraph"/>
        <w:numPr>
          <w:ilvl w:val="1"/>
          <w:numId w:val="19"/>
        </w:numPr>
        <w:shd w:val="clear" w:color="auto" w:fill="FFFFFF"/>
        <w:tabs>
          <w:tab w:val="clear" w:pos="709"/>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 </w:t>
      </w:r>
    </w:p>
    <w:p>
      <w:pPr>
        <w:pStyle w:val="ListParagraph"/>
        <w:numPr>
          <w:ilvl w:val="1"/>
          <w:numId w:val="19"/>
        </w:numPr>
        <w:shd w:val="clear" w:color="auto" w:fill="FFFFFF"/>
        <w:tabs>
          <w:tab w:val="clear" w:pos="709"/>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9"/>
        </w:numPr>
        <w:shd w:val="clear" w:color="auto" w:fill="FFFFFF"/>
        <w:tabs>
          <w:tab w:val="clear" w:pos="709"/>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9"/>
        </w:numPr>
        <w:shd w:val="clear" w:color="auto" w:fill="FFFFFF"/>
        <w:tabs>
          <w:tab w:val="clear" w:pos="709"/>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9"/>
        </w:numPr>
        <w:shd w:val="clear" w:color="auto" w:fill="FFFFFF"/>
        <w:tabs>
          <w:tab w:val="clear" w:pos="709"/>
          <w:tab w:val="left" w:pos="1134" w:leader="none"/>
        </w:tabs>
        <w:ind w:left="0" w:firstLine="709"/>
        <w:jc w:val="both"/>
        <w:rPr/>
      </w:pPr>
      <w:bookmarkStart w:id="35"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5"/>
      <w:r>
        <w:rPr/>
        <w:t xml:space="preserve"> </w:t>
      </w:r>
    </w:p>
    <w:p>
      <w:pPr>
        <w:pStyle w:val="ListParagraph"/>
        <w:numPr>
          <w:ilvl w:val="1"/>
          <w:numId w:val="19"/>
        </w:numPr>
        <w:shd w:val="clear" w:color="auto" w:fill="FFFFFF"/>
        <w:tabs>
          <w:tab w:val="clear" w:pos="709"/>
          <w:tab w:val="left" w:pos="1134" w:leader="none"/>
          <w:tab w:val="left" w:pos="1418" w:leader="none"/>
        </w:tabs>
        <w:ind w:left="0" w:firstLine="709"/>
        <w:jc w:val="both"/>
        <w:rPr>
          <w:bCs/>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19"/>
        </w:numPr>
        <w:ind w:left="0" w:firstLine="709"/>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19"/>
        </w:numPr>
        <w:ind w:left="0" w:firstLine="709"/>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19"/>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 – 16.8.2 Договора. </w:t>
      </w:r>
    </w:p>
    <w:p>
      <w:pPr>
        <w:pStyle w:val="Normal"/>
        <w:numPr>
          <w:ilvl w:val="1"/>
          <w:numId w:val="19"/>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9"/>
        </w:numPr>
        <w:shd w:val="clear" w:color="auto" w:fill="FFFFFF"/>
        <w:tabs>
          <w:tab w:val="clear" w:pos="709"/>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Normal"/>
        <w:shd w:val="clear" w:color="auto" w:fill="FFFFFF"/>
        <w:tabs>
          <w:tab w:val="clear" w:pos="709"/>
          <w:tab w:val="left" w:pos="568" w:leader="none"/>
        </w:tabs>
        <w:spacing w:lineRule="auto" w:line="240"/>
        <w:ind w:firstLine="709"/>
        <w:rPr>
          <w:bCs/>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Pr>
          <w:sz w:val="24"/>
          <w:szCs w:val="24"/>
        </w:rPr>
        <w:t>.</w:t>
      </w:r>
    </w:p>
    <w:p>
      <w:pPr>
        <w:pStyle w:val="ListParagraph"/>
        <w:numPr>
          <w:ilvl w:val="1"/>
          <w:numId w:val="19"/>
        </w:numPr>
        <w:shd w:val="clear" w:color="auto" w:fill="FFFFFF"/>
        <w:tabs>
          <w:tab w:val="clear" w:pos="709"/>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tabs>
          <w:tab w:val="clear" w:pos="709"/>
          <w:tab w:val="left" w:pos="1134" w:leader="none"/>
        </w:tabs>
        <w:spacing w:lineRule="auto" w:line="240"/>
        <w:ind w:firstLine="709"/>
        <w:rPr>
          <w:sz w:val="24"/>
          <w:szCs w:val="24"/>
        </w:rPr>
      </w:pPr>
      <w:r>
        <w:rPr>
          <w:sz w:val="24"/>
          <w:szCs w:val="24"/>
        </w:rPr>
        <w:t>16.12. Договор составлен в 2 (двух) оригинальных экземплярах, имеющих равную юридическую силу, по 1 (одному) для каждой из Сторон</w:t>
      </w:r>
      <w:r>
        <w:rPr>
          <w:rStyle w:val="FootnoteReference"/>
          <w:sz w:val="24"/>
          <w:szCs w:val="24"/>
          <w:highlight w:val="lightGray"/>
        </w:rPr>
        <w:footnoteReference w:id="4"/>
      </w:r>
      <w:r>
        <w:rPr>
          <w:sz w:val="24"/>
          <w:szCs w:val="24"/>
          <w:highlight w:val="lightGray"/>
        </w:rPr>
        <w:t>.</w:t>
      </w:r>
    </w:p>
    <w:p>
      <w:pPr>
        <w:pStyle w:val="ListParagraph"/>
        <w:shd w:val="clear" w:color="auto" w:fill="FFFFFF"/>
        <w:ind w:left="0" w:firstLine="567"/>
        <w:rPr>
          <w:bCs/>
        </w:rPr>
      </w:pPr>
      <w:r>
        <w:rPr>
          <w:bCs/>
        </w:rPr>
      </w:r>
    </w:p>
    <w:p>
      <w:pPr>
        <w:pStyle w:val="ListParagraph"/>
        <w:numPr>
          <w:ilvl w:val="0"/>
          <w:numId w:val="19"/>
        </w:numPr>
        <w:shd w:val="clear" w:color="auto" w:fill="FFFFFF"/>
        <w:tabs>
          <w:tab w:val="clear" w:pos="709"/>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Сводная смета;</w:t>
      </w:r>
    </w:p>
    <w:p>
      <w:pPr>
        <w:pStyle w:val="ListParagraph"/>
        <w:shd w:val="clear" w:color="auto" w:fill="FFFFFF"/>
        <w:ind w:left="0" w:hanging="0"/>
        <w:jc w:val="both"/>
        <w:rPr>
          <w:bCs/>
        </w:rPr>
      </w:pPr>
      <w:r>
        <w:rPr>
          <w:bCs/>
        </w:rPr>
        <w:t>Приложение № 3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4 – Перечень допусков, разрешений и лицензий Подрядчика; </w:t>
      </w:r>
    </w:p>
    <w:p>
      <w:pPr>
        <w:pStyle w:val="ListParagraph"/>
        <w:shd w:val="clear" w:color="auto" w:fill="FFFFFF"/>
        <w:ind w:left="0" w:hanging="0"/>
        <w:jc w:val="both"/>
        <w:rPr>
          <w:bCs/>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6 – Форма Акта сдачи-приемки выполненных работ;</w:t>
      </w:r>
    </w:p>
    <w:p>
      <w:pPr>
        <w:pStyle w:val="ListParagraph"/>
        <w:shd w:val="clear" w:color="auto" w:fill="FFFFFF"/>
        <w:ind w:left="0" w:hanging="0"/>
        <w:jc w:val="both"/>
        <w:rPr>
          <w:bCs/>
        </w:rPr>
      </w:pPr>
      <w:r>
        <w:rPr>
          <w:bCs/>
        </w:rPr>
        <w:t>Приложение № 7 – Критерии отбора Банков-гарантов.</w:t>
      </w:r>
    </w:p>
    <w:p>
      <w:pPr>
        <w:pStyle w:val="ListParagraph"/>
        <w:shd w:val="clear" w:color="auto" w:fill="FFFFFF"/>
        <w:ind w:left="0" w:hanging="0"/>
        <w:jc w:val="both"/>
        <w:rPr>
          <w:bCs/>
        </w:rPr>
      </w:pPr>
      <w:r>
        <w:rPr>
          <w:bCs/>
        </w:rPr>
      </w:r>
    </w:p>
    <w:p>
      <w:pPr>
        <w:pStyle w:val="ListParagraph"/>
        <w:numPr>
          <w:ilvl w:val="0"/>
          <w:numId w:val="19"/>
        </w:numPr>
        <w:shd w:val="clear" w:color="auto" w:fill="FFFFFF"/>
        <w:tabs>
          <w:tab w:val="clear" w:pos="709"/>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9"/>
          <w:tab w:val="left" w:pos="426" w:leader="none"/>
        </w:tabs>
        <w:ind w:left="0" w:hanging="0"/>
        <w:rPr>
          <w:b/>
          <w:bCs/>
        </w:rPr>
      </w:pPr>
      <w:r>
        <w:rPr>
          <w:b/>
          <w:bCs/>
        </w:rPr>
      </w:r>
    </w:p>
    <w:tbl>
      <w:tblPr>
        <w:tblW w:w="9639"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699"/>
        <w:gridCol w:w="134"/>
        <w:gridCol w:w="4565"/>
        <w:gridCol w:w="241"/>
      </w:tblGrid>
      <w:tr>
        <w:trPr/>
        <w:tc>
          <w:tcPr>
            <w:tcW w:w="4833" w:type="dxa"/>
            <w:gridSpan w:val="2"/>
            <w:tcBorders/>
          </w:tcPr>
          <w:p>
            <w:pPr>
              <w:pStyle w:val="Normal"/>
              <w:widowControl w:val="false"/>
              <w:spacing w:lineRule="auto" w:line="240"/>
              <w:ind w:hanging="0"/>
              <w:rPr>
                <w:sz w:val="24"/>
                <w:szCs w:val="24"/>
              </w:rPr>
            </w:pPr>
            <w:r>
              <w:rPr>
                <w:sz w:val="24"/>
                <w:szCs w:val="24"/>
              </w:rPr>
              <w:t>ЗАКАЗЧИК:</w:t>
            </w:r>
          </w:p>
        </w:tc>
        <w:tc>
          <w:tcPr>
            <w:tcW w:w="4806" w:type="dxa"/>
            <w:gridSpan w:val="2"/>
            <w:tcBorders/>
          </w:tcPr>
          <w:p>
            <w:pPr>
              <w:pStyle w:val="Normal"/>
              <w:widowControl w:val="false"/>
              <w:spacing w:lineRule="auto" w:line="240"/>
              <w:ind w:hanging="0"/>
              <w:rPr>
                <w:sz w:val="24"/>
                <w:szCs w:val="24"/>
              </w:rPr>
            </w:pPr>
            <w:r>
              <w:rPr>
                <w:sz w:val="24"/>
                <w:szCs w:val="24"/>
              </w:rPr>
              <w:t>ПОДРЯДЧИК:</w:t>
            </w:r>
          </w:p>
        </w:tc>
      </w:tr>
      <w:tr>
        <w:trPr/>
        <w:tc>
          <w:tcPr>
            <w:tcW w:w="4833"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Публичное акционерное общество</w:t>
            </w:r>
          </w:p>
          <w:p>
            <w:pPr>
              <w:pStyle w:val="Normal"/>
              <w:widowControl w:val="false"/>
              <w:spacing w:lineRule="auto" w:line="240"/>
              <w:ind w:hanging="0"/>
              <w:jc w:val="left"/>
              <w:rPr>
                <w:b/>
                <w:sz w:val="24"/>
                <w:szCs w:val="24"/>
              </w:rPr>
            </w:pPr>
            <w:r>
              <w:rPr>
                <w:b/>
                <w:sz w:val="24"/>
                <w:szCs w:val="24"/>
              </w:rPr>
              <w:t>«Федеральная гидрогенерирующая компания - РусГидро» (ПАО «РусГидро»)</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Место нахождения: </w:t>
            </w:r>
          </w:p>
          <w:p>
            <w:pPr>
              <w:pStyle w:val="Normal"/>
              <w:widowControl w:val="false"/>
              <w:spacing w:lineRule="auto" w:line="240"/>
              <w:ind w:hanging="0"/>
              <w:jc w:val="left"/>
              <w:rPr>
                <w:sz w:val="24"/>
                <w:szCs w:val="24"/>
              </w:rPr>
            </w:pPr>
            <w:r>
              <w:rPr>
                <w:sz w:val="24"/>
                <w:szCs w:val="24"/>
              </w:rPr>
              <w:t xml:space="preserve">660017, Красноярский край, </w:t>
            </w:r>
          </w:p>
          <w:p>
            <w:pPr>
              <w:pStyle w:val="Normal"/>
              <w:widowControl w:val="false"/>
              <w:spacing w:lineRule="auto" w:line="240"/>
              <w:ind w:hanging="0"/>
              <w:jc w:val="left"/>
              <w:rPr>
                <w:sz w:val="24"/>
                <w:szCs w:val="24"/>
              </w:rPr>
            </w:pPr>
            <w:r>
              <w:rPr>
                <w:sz w:val="24"/>
                <w:szCs w:val="24"/>
              </w:rPr>
              <w:t>г.о. город Красноярск, г. Красноярск, ул.Перенсона, зд.2а, помещ.1</w:t>
            </w:r>
          </w:p>
          <w:p>
            <w:pPr>
              <w:pStyle w:val="Normal"/>
              <w:widowControl w:val="false"/>
              <w:spacing w:lineRule="auto" w:line="240"/>
              <w:ind w:hanging="0"/>
              <w:jc w:val="left"/>
              <w:rPr>
                <w:sz w:val="24"/>
                <w:szCs w:val="24"/>
              </w:rPr>
            </w:pPr>
            <w:r>
              <w:rPr>
                <w:sz w:val="24"/>
                <w:szCs w:val="24"/>
              </w:rPr>
              <w:t xml:space="preserve">ОГРН 1042401810494, </w:t>
            </w:r>
          </w:p>
          <w:p>
            <w:pPr>
              <w:pStyle w:val="Normal"/>
              <w:widowControl w:val="false"/>
              <w:spacing w:lineRule="auto" w:line="240"/>
              <w:ind w:hanging="0"/>
              <w:jc w:val="left"/>
              <w:rPr>
                <w:sz w:val="24"/>
                <w:szCs w:val="24"/>
              </w:rPr>
            </w:pPr>
            <w:r>
              <w:rPr>
                <w:sz w:val="24"/>
                <w:szCs w:val="24"/>
              </w:rPr>
              <w:t>ИНН 2460066195 / КПП 997650001</w:t>
            </w:r>
          </w:p>
          <w:p>
            <w:pPr>
              <w:pStyle w:val="Normal"/>
              <w:widowControl w:val="false"/>
              <w:spacing w:lineRule="auto" w:line="240"/>
              <w:ind w:hanging="0"/>
              <w:jc w:val="left"/>
              <w:rPr>
                <w:sz w:val="24"/>
                <w:szCs w:val="24"/>
              </w:rPr>
            </w:pPr>
            <w:r>
              <w:rPr>
                <w:sz w:val="24"/>
                <w:szCs w:val="24"/>
              </w:rPr>
              <w:t>Филиал ПАО «РусГидро»-«Камская ГЭС»</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Почтовый адрес: 614030, г. Пермь, Камская ГЭС</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ИНН/КПП 2460066195/590702001</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Филиал «ГПБ» (АО) в г. Перми</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Р/с 40702810000320700512</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К/с 30101810200000000808</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БИК 045773808 ОКПО 00108128</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ОГРН 1042401810494</w:t>
            </w:r>
          </w:p>
          <w:p>
            <w:pPr>
              <w:pStyle w:val="Normal"/>
              <w:widowControl w:val="false"/>
              <w:tabs>
                <w:tab w:val="clear" w:pos="709"/>
                <w:tab w:val="left" w:pos="0" w:leader="none"/>
                <w:tab w:val="left" w:pos="1134" w:leader="none"/>
                <w:tab w:val="left" w:pos="1701" w:leader="none"/>
              </w:tabs>
              <w:spacing w:lineRule="auto" w:line="240"/>
              <w:ind w:hanging="0"/>
              <w:rPr>
                <w:sz w:val="24"/>
                <w:szCs w:val="24"/>
              </w:rPr>
            </w:pPr>
            <w:r>
              <w:rPr>
                <w:sz w:val="24"/>
                <w:szCs w:val="24"/>
              </w:rPr>
              <w:t>Тел.: (342) 274-54-54</w:t>
            </w:r>
          </w:p>
          <w:p>
            <w:pPr>
              <w:pStyle w:val="Normal"/>
              <w:widowControl w:val="false"/>
              <w:spacing w:lineRule="auto" w:line="240"/>
              <w:ind w:hanging="0"/>
              <w:jc w:val="left"/>
              <w:rPr>
                <w:sz w:val="24"/>
                <w:szCs w:val="24"/>
              </w:rPr>
            </w:pPr>
            <w:r>
              <w:rPr>
                <w:sz w:val="24"/>
                <w:szCs w:val="24"/>
              </w:rPr>
              <w:t>Факс: (342) 274-49-22</w:t>
            </w:r>
          </w:p>
          <w:p>
            <w:pPr>
              <w:pStyle w:val="Normal"/>
              <w:widowControl w:val="false"/>
              <w:spacing w:lineRule="auto" w:line="240"/>
              <w:ind w:hanging="0"/>
              <w:jc w:val="left"/>
              <w:rPr>
                <w:sz w:val="24"/>
                <w:szCs w:val="24"/>
              </w:rPr>
            </w:pPr>
            <w:r>
              <w:rPr>
                <w:sz w:val="24"/>
                <w:szCs w:val="24"/>
              </w:rPr>
            </w:r>
          </w:p>
        </w:tc>
        <w:tc>
          <w:tcPr>
            <w:tcW w:w="4806"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699"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699" w:type="dxa"/>
            <w:gridSpan w:val="2"/>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center"/>
              <w:rPr>
                <w:sz w:val="24"/>
                <w:szCs w:val="24"/>
              </w:rPr>
            </w:pPr>
            <w:r>
              <w:rPr>
                <w:sz w:val="24"/>
                <w:szCs w:val="24"/>
              </w:rPr>
              <w:t>_______________ / _______________</w:t>
            </w:r>
          </w:p>
          <w:p>
            <w:pPr>
              <w:pStyle w:val="Normal"/>
              <w:widowControl w:val="false"/>
              <w:spacing w:lineRule="auto" w:line="240"/>
              <w:ind w:hanging="0"/>
              <w:jc w:val="left"/>
              <w:rPr>
                <w:sz w:val="24"/>
                <w:szCs w:val="24"/>
              </w:rPr>
            </w:pPr>
            <w:r>
              <w:rPr>
                <w:sz w:val="24"/>
                <w:szCs w:val="24"/>
              </w:rPr>
            </w:r>
          </w:p>
        </w:tc>
        <w:tc>
          <w:tcPr>
            <w:tcW w:w="241" w:type="dxa"/>
            <w:tcBorders/>
          </w:tcPr>
          <w:p>
            <w:pPr>
              <w:pStyle w:val="Normal"/>
              <w:widowControl w:val="false"/>
              <w:rPr/>
            </w:pPr>
            <w:r>
              <w:rPr/>
            </w:r>
          </w:p>
        </w:tc>
      </w:tr>
    </w:tbl>
    <w:p>
      <w:pPr>
        <w:sectPr>
          <w:headerReference w:type="default" r:id="rId7"/>
          <w:headerReference w:type="first" r:id="rId8"/>
          <w:footerReference w:type="default" r:id="rId9"/>
          <w:footnotePr>
            <w:numFmt w:val="decimal"/>
          </w:footnotePr>
          <w:type w:val="nextPage"/>
          <w:pgSz w:w="11906" w:h="16838"/>
          <w:pgMar w:left="1418" w:right="851" w:gutter="0" w:header="709" w:top="1134" w:footer="709" w:bottom="1134"/>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4820" w:hanging="0"/>
        <w:jc w:val="left"/>
        <w:rPr>
          <w:sz w:val="22"/>
          <w:szCs w:val="22"/>
        </w:rPr>
      </w:pPr>
      <w:r>
        <w:rPr>
          <w:sz w:val="22"/>
          <w:szCs w:val="22"/>
        </w:rPr>
        <w:t>Приложение № 2</w:t>
      </w:r>
    </w:p>
    <w:p>
      <w:pPr>
        <w:pStyle w:val="Normal"/>
        <w:spacing w:lineRule="auto" w:line="240"/>
        <w:ind w:left="4820" w:hanging="0"/>
        <w:jc w:val="left"/>
        <w:rPr>
          <w:sz w:val="22"/>
          <w:szCs w:val="22"/>
        </w:rPr>
      </w:pPr>
      <w:r>
        <w:rPr>
          <w:sz w:val="22"/>
          <w:szCs w:val="22"/>
        </w:rPr>
        <w:t>к Договору подряда</w:t>
      </w:r>
    </w:p>
    <w:p>
      <w:pPr>
        <w:pStyle w:val="Normal"/>
        <w:spacing w:lineRule="auto" w:line="240"/>
        <w:ind w:left="4820" w:hanging="0"/>
        <w:jc w:val="left"/>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СВОДНАЯ СМЕТА 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hanging="0"/>
        <w:jc w:val="left"/>
        <w:rPr>
          <w:sz w:val="22"/>
          <w:szCs w:val="22"/>
        </w:rPr>
      </w:pPr>
      <w:r>
        <w:rPr>
          <w:sz w:val="22"/>
          <w:szCs w:val="22"/>
        </w:rPr>
      </w:r>
    </w:p>
    <w:p>
      <w:pPr>
        <w:pStyle w:val="Normal"/>
        <w:spacing w:lineRule="auto" w:line="240"/>
        <w:ind w:left="4820" w:hanging="0"/>
        <w:jc w:val="left"/>
        <w:rPr>
          <w:sz w:val="22"/>
          <w:szCs w:val="22"/>
        </w:rPr>
      </w:pPr>
      <w:r>
        <w:rPr>
          <w:sz w:val="22"/>
          <w:szCs w:val="22"/>
        </w:rPr>
        <w:t>Приложение № 3</w:t>
      </w:r>
    </w:p>
    <w:p>
      <w:pPr>
        <w:pStyle w:val="Normal"/>
        <w:spacing w:lineRule="auto" w:line="240"/>
        <w:ind w:left="4820" w:hanging="0"/>
        <w:jc w:val="left"/>
        <w:rPr>
          <w:sz w:val="22"/>
          <w:szCs w:val="22"/>
        </w:rPr>
      </w:pPr>
      <w:r>
        <w:rPr>
          <w:sz w:val="22"/>
          <w:szCs w:val="22"/>
        </w:rPr>
        <w:t>к Договору подряда</w:t>
      </w:r>
    </w:p>
    <w:p>
      <w:pPr>
        <w:pStyle w:val="Normal"/>
        <w:spacing w:lineRule="auto" w:line="240"/>
        <w:ind w:left="4820" w:hanging="0"/>
        <w:jc w:val="left"/>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637"/>
      </w:tblGrid>
      <w:tr>
        <w:trPr/>
        <w:tc>
          <w:tcPr>
            <w:tcW w:w="9637"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41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05"/>
              <w:gridCol w:w="4705"/>
            </w:tblGrid>
            <w:tr>
              <w:trPr/>
              <w:tc>
                <w:tcPr>
                  <w:tcW w:w="4705" w:type="dxa"/>
                  <w:tcBorders/>
                </w:tcPr>
                <w:p>
                  <w:pPr>
                    <w:pStyle w:val="Normal"/>
                    <w:widowControl w:val="false"/>
                    <w:spacing w:lineRule="auto" w:line="240"/>
                    <w:ind w:hanging="0"/>
                    <w:rPr>
                      <w:bCs/>
                      <w:sz w:val="24"/>
                      <w:szCs w:val="24"/>
                    </w:rPr>
                  </w:pPr>
                  <w:r>
                    <w:rPr>
                      <w:bCs/>
                      <w:sz w:val="24"/>
                      <w:szCs w:val="24"/>
                    </w:rPr>
                    <w:t>Заказчик:</w:t>
                  </w:r>
                </w:p>
              </w:tc>
              <w:tc>
                <w:tcPr>
                  <w:tcW w:w="4705" w:type="dxa"/>
                  <w:tcBorders/>
                </w:tcPr>
                <w:p>
                  <w:pPr>
                    <w:pStyle w:val="Normal"/>
                    <w:widowControl w:val="false"/>
                    <w:spacing w:lineRule="auto" w:line="240"/>
                    <w:ind w:hanging="0"/>
                    <w:rPr>
                      <w:bCs/>
                      <w:sz w:val="24"/>
                      <w:szCs w:val="24"/>
                    </w:rPr>
                  </w:pPr>
                  <w:r>
                    <w:rPr>
                      <w:bCs/>
                      <w:sz w:val="24"/>
                      <w:szCs w:val="24"/>
                    </w:rPr>
                    <w:t>Подрядчик:</w:t>
                  </w:r>
                </w:p>
              </w:tc>
            </w:tr>
            <w:tr>
              <w:trPr/>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0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br w:type="page"/>
      </w:r>
      <w:r>
        <w:rPr>
          <w:sz w:val="22"/>
          <w:szCs w:val="22"/>
        </w:rPr>
        <w:t>Приложение № 4</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678"/>
        <w:gridCol w:w="2160"/>
        <w:gridCol w:w="1228"/>
        <w:gridCol w:w="1092"/>
        <w:gridCol w:w="939"/>
        <w:gridCol w:w="1280"/>
        <w:gridCol w:w="2259"/>
      </w:tblGrid>
      <w:tr>
        <w:trPr>
          <w:trHeight w:val="2142" w:hRule="atLeast"/>
        </w:trPr>
        <w:tc>
          <w:tcPr>
            <w:tcW w:w="6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4820" w:hanging="0"/>
        <w:rPr>
          <w:sz w:val="22"/>
          <w:szCs w:val="22"/>
        </w:rPr>
      </w:pPr>
      <w:r>
        <w:rPr>
          <w:sz w:val="22"/>
          <w:szCs w:val="22"/>
        </w:rPr>
        <w:t>Приложение № 5</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tcPr>
          <w:p>
            <w:pPr>
              <w:pStyle w:val="Normal"/>
              <w:pageBreakBefore/>
              <w:widowControl w:val="false"/>
              <w:snapToGrid w:val="false"/>
              <w:spacing w:lineRule="auto" w:line="240"/>
              <w:rPr>
                <w:b/>
                <w:bCs/>
                <w:szCs w:val="24"/>
              </w:rPr>
            </w:pPr>
            <w:r>
              <w:rPr>
                <w:b/>
                <w:bCs/>
                <w:szCs w:val="24"/>
              </w:rPr>
            </w:r>
          </w:p>
        </w:tc>
        <w:tc>
          <w:tcPr>
            <w:tcW w:w="4785" w:type="dxa"/>
            <w:tcBorders/>
          </w:tcPr>
          <w:p>
            <w:pPr>
              <w:pStyle w:val="Normal"/>
              <w:widowControl w:val="false"/>
              <w:shd w:val="clear" w:color="auto" w:fill="FFFFFF"/>
              <w:spacing w:lineRule="auto" w:line="240"/>
              <w:ind w:left="69" w:hanging="0"/>
              <w:rPr>
                <w:bCs/>
                <w:sz w:val="22"/>
                <w:szCs w:val="22"/>
              </w:rPr>
            </w:pPr>
            <w:r>
              <w:rPr>
                <w:bCs/>
                <w:sz w:val="22"/>
                <w:szCs w:val="22"/>
              </w:rPr>
              <w:t>Приложение № 6</w:t>
            </w:r>
          </w:p>
          <w:p>
            <w:pPr>
              <w:pStyle w:val="Normal"/>
              <w:widowControl w:val="false"/>
              <w:shd w:val="clear" w:color="auto" w:fill="FFFFFF"/>
              <w:spacing w:lineRule="auto" w:line="240"/>
              <w:ind w:left="69" w:hanging="0"/>
              <w:rPr>
                <w:bCs/>
                <w:sz w:val="22"/>
                <w:szCs w:val="22"/>
              </w:rPr>
            </w:pPr>
            <w:r>
              <w:rPr>
                <w:bCs/>
                <w:sz w:val="22"/>
                <w:szCs w:val="22"/>
              </w:rPr>
              <w:t xml:space="preserve">к Договору подряда </w:t>
            </w:r>
          </w:p>
          <w:p>
            <w:pPr>
              <w:pStyle w:val="Normal"/>
              <w:widowControl w:val="false"/>
              <w:shd w:val="clear" w:color="auto" w:fill="FFFFFF"/>
              <w:spacing w:lineRule="auto" w:line="240"/>
              <w:ind w:left="69" w:hanging="0"/>
              <w:rPr>
                <w:bCs/>
                <w:sz w:val="22"/>
                <w:szCs w:val="22"/>
              </w:rPr>
            </w:pPr>
            <w:r>
              <w:rPr>
                <w:bCs/>
                <w:sz w:val="22"/>
                <w:szCs w:val="22"/>
              </w:rPr>
              <w:t>от «___» ________20__ г. № ___</w:t>
            </w:r>
          </w:p>
          <w:p>
            <w:pPr>
              <w:pStyle w:val="Normal"/>
              <w:widowControl w:val="false"/>
              <w:snapToGrid w:val="false"/>
              <w:spacing w:lineRule="auto" w:line="240"/>
              <w:rPr>
                <w:b/>
                <w:bCs/>
                <w:szCs w:val="24"/>
                <w:highlight w:val="lightGray"/>
              </w:rPr>
            </w:pPr>
            <w:r>
              <w:rPr>
                <w:b/>
                <w:bCs/>
                <w:szCs w:val="24"/>
                <w:highlight w:val="lightGray"/>
              </w:rPr>
            </w:r>
          </w:p>
        </w:tc>
      </w:tr>
    </w:tbl>
    <w:p>
      <w:pPr>
        <w:pStyle w:val="Normal"/>
        <w:shd w:val="clear" w:color="auto" w:fill="FFFFFF"/>
        <w:spacing w:lineRule="auto" w:line="240"/>
        <w:jc w:val="center"/>
        <w:rPr>
          <w:b/>
          <w:bCs/>
          <w:szCs w:val="24"/>
        </w:rPr>
      </w:pPr>
      <w:r>
        <w:rPr>
          <w:b/>
          <w:bCs/>
          <w:szCs w:val="24"/>
        </w:rPr>
        <w:t>Акт сдачи-приемки выполненных работ</w:t>
      </w:r>
    </w:p>
    <w:p>
      <w:pPr>
        <w:pStyle w:val="Normal"/>
        <w:shd w:val="clear" w:color="auto" w:fill="FFFFFF"/>
        <w:spacing w:lineRule="auto" w:line="240"/>
        <w:jc w:val="center"/>
        <w:rPr>
          <w:b/>
          <w:bCs/>
          <w:szCs w:val="24"/>
        </w:rPr>
      </w:pPr>
      <w:r>
        <w:rPr>
          <w:b/>
          <w:bCs/>
          <w:szCs w:val="24"/>
        </w:rPr>
        <w:t>(форма)</w:t>
      </w:r>
    </w:p>
    <w:p>
      <w:pPr>
        <w:pStyle w:val="Normal"/>
        <w:shd w:val="clear" w:color="auto" w:fill="FFFFFF"/>
        <w:spacing w:lineRule="auto" w:line="240"/>
        <w:jc w:val="center"/>
        <w:rPr>
          <w:b/>
          <w:bCs/>
          <w:szCs w:val="24"/>
        </w:rPr>
      </w:pPr>
      <w:r>
        <w:rPr>
          <w:b/>
          <w:bCs/>
          <w:szCs w:val="24"/>
        </w:rPr>
      </w:r>
    </w:p>
    <w:tbl>
      <w:tblPr>
        <w:tblW w:w="10070" w:type="dxa"/>
        <w:jc w:val="left"/>
        <w:tblInd w:w="-98" w:type="dxa"/>
        <w:tblLayout w:type="fixed"/>
        <w:tblCellMar>
          <w:top w:w="0" w:type="dxa"/>
          <w:left w:w="10" w:type="dxa"/>
          <w:bottom w:w="0" w:type="dxa"/>
          <w:right w:w="10" w:type="dxa"/>
        </w:tblCellMar>
        <w:tblLook w:val="04a0" w:noHBand="0" w:noVBand="1" w:firstColumn="1" w:lastRow="0" w:lastColumn="0" w:firstRow="1"/>
      </w:tblPr>
      <w:tblGrid>
        <w:gridCol w:w="40"/>
        <w:gridCol w:w="10029"/>
      </w:tblGrid>
      <w:tr>
        <w:trPr/>
        <w:tc>
          <w:tcPr>
            <w:tcW w:w="4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Cs/>
                <w:szCs w:val="24"/>
              </w:rPr>
            </w:pPr>
            <w:r>
              <w:rPr>
                <w:b/>
                <w:bCs/>
                <w:szCs w:val="24"/>
              </w:rPr>
            </w:r>
          </w:p>
        </w:tc>
        <w:tc>
          <w:tcPr>
            <w:tcW w:w="10029"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СДАЧИ-ПРИЕМКИ ВЫПОЛНЕННЫХ РАБОТ №  _________</w:t>
            </w:r>
          </w:p>
          <w:tbl>
            <w:tblPr>
              <w:tblW w:w="9735"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31"/>
              <w:gridCol w:w="849"/>
              <w:gridCol w:w="2941"/>
              <w:gridCol w:w="1248"/>
              <w:gridCol w:w="225"/>
              <w:gridCol w:w="584"/>
              <w:gridCol w:w="1402"/>
              <w:gridCol w:w="1331"/>
              <w:gridCol w:w="1122"/>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_________20_г.</w:t>
                  </w:r>
                </w:p>
                <w:tbl>
                  <w:tblPr>
                    <w:tblW w:w="9590"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356"/>
                    <w:gridCol w:w="8163"/>
                    <w:gridCol w:w="71"/>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63"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71" w:type="dxa"/>
                        <w:tcBorders/>
                        <w:tcMar>
                          <w:top w:w="0" w:type="dxa"/>
                          <w:left w:w="0" w:type="dxa"/>
                          <w:right w:w="0" w:type="dxa"/>
                        </w:tcMar>
                      </w:tcPr>
                      <w:p>
                        <w:pPr>
                          <w:pStyle w:val="Normal"/>
                          <w:widowControl w:val="false"/>
                          <w:rPr/>
                        </w:pPr>
                        <w:r>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94"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39"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r>
                </w:p>
              </w:tc>
            </w:tr>
            <w:tr>
              <w:trPr>
                <w:cantSplit w:val="true"/>
              </w:trPr>
              <w:tc>
                <w:tcPr>
                  <w:tcW w:w="31"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849"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941"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912"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31" w:type="dxa"/>
                  <w:tcBorders/>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849"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941"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48"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809"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402"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31"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1122"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31"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84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94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809"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40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3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1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31"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4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09"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40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1"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4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09"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40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1"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84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94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4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09"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40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31" w:type="dxa"/>
                  <w:tcBorders/>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3790"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 xml:space="preserve">Выполнено работ </w:t>
                  </w:r>
                </w:p>
              </w:tc>
              <w:tc>
                <w:tcPr>
                  <w:tcW w:w="3459"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1"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51"/>
              <w:gridCol w:w="4049"/>
              <w:gridCol w:w="710"/>
              <w:gridCol w:w="344"/>
              <w:gridCol w:w="4166"/>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Заказчика:</w:t>
                  </w:r>
                </w:p>
              </w:tc>
              <w:tc>
                <w:tcPr>
                  <w:tcW w:w="710" w:type="dxa"/>
                  <w:vMerge w:val="restart"/>
                  <w:tcBorders/>
                </w:tcPr>
                <w:p>
                  <w:pPr>
                    <w:pStyle w:val="Normal"/>
                    <w:widowControl w:val="false"/>
                    <w:snapToGrid w:val="false"/>
                    <w:spacing w:lineRule="auto" w:line="240"/>
                    <w:rPr>
                      <w:sz w:val="20"/>
                      <w:szCs w:val="20"/>
                    </w:rPr>
                  </w:pPr>
                  <w:r>
                    <w:rPr>
                      <w:sz w:val="20"/>
                      <w:szCs w:val="20"/>
                    </w:rPr>
                  </w:r>
                </w:p>
              </w:tc>
              <w:tc>
                <w:tcPr>
                  <w:tcW w:w="4510" w:type="dxa"/>
                  <w:gridSpan w:val="2"/>
                  <w:tcBorders/>
                </w:tcPr>
                <w:p>
                  <w:pPr>
                    <w:pStyle w:val="Normal"/>
                    <w:widowControl w:val="false"/>
                    <w:spacing w:lineRule="auto" w:line="240"/>
                    <w:rPr>
                      <w:sz w:val="20"/>
                      <w:szCs w:val="20"/>
                    </w:rPr>
                  </w:pPr>
                  <w:r>
                    <w:rPr>
                      <w:b/>
                      <w:bCs/>
                      <w:sz w:val="20"/>
                      <w:szCs w:val="20"/>
                    </w:rPr>
                    <w:t>Подрядчика:</w:t>
                  </w:r>
                </w:p>
              </w:tc>
            </w:tr>
            <w:tr>
              <w:trPr>
                <w:cantSplit w:val="true"/>
              </w:trPr>
              <w:tc>
                <w:tcPr>
                  <w:tcW w:w="4500" w:type="dxa"/>
                  <w:gridSpan w:val="2"/>
                  <w:tcBorders/>
                </w:tcPr>
                <w:p>
                  <w:pPr>
                    <w:pStyle w:val="Normal"/>
                    <w:widowControl w:val="false"/>
                    <w:snapToGrid w:val="false"/>
                    <w:spacing w:lineRule="auto" w:line="240"/>
                    <w:rPr>
                      <w:b/>
                      <w:bCs/>
                      <w:sz w:val="20"/>
                      <w:szCs w:val="20"/>
                    </w:rPr>
                  </w:pPr>
                  <w:r>
                    <w:rPr>
                      <w:b/>
                      <w:bCs/>
                      <w:sz w:val="20"/>
                      <w:szCs w:val="20"/>
                    </w:rPr>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10" w:type="dxa"/>
                  <w:gridSpan w:val="2"/>
                  <w:tcBorders/>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4" w:type="dxa"/>
                  <w:vMerge w:val="restart"/>
                  <w:tcBorders/>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cPr>
                <w:p>
                  <w:pPr>
                    <w:pStyle w:val="Normal"/>
                    <w:widowControl w:val="false"/>
                    <w:snapToGrid w:val="false"/>
                    <w:spacing w:lineRule="auto" w:line="240"/>
                    <w:rPr>
                      <w:sz w:val="20"/>
                      <w:szCs w:val="20"/>
                    </w:rPr>
                  </w:pPr>
                  <w:r>
                    <w:rPr>
                      <w:sz w:val="20"/>
                      <w:szCs w:val="20"/>
                    </w:rPr>
                  </w:r>
                </w:p>
              </w:tc>
              <w:tc>
                <w:tcPr>
                  <w:tcW w:w="710"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4"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highlight w:val="yellow"/>
        </w:rPr>
      </w:pPr>
      <w:r>
        <w:rPr>
          <w:highlight w:val="yellow"/>
        </w:rPr>
      </w:r>
    </w:p>
    <w:p>
      <w:pPr>
        <w:pStyle w:val="Normal"/>
        <w:spacing w:lineRule="auto" w:line="240"/>
        <w:ind w:left="5103" w:firstLine="567"/>
        <w:rPr>
          <w:highlight w:val="yellow"/>
        </w:rPr>
      </w:pPr>
      <w:r>
        <w:rPr>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ind w:firstLine="34"/>
              <w:rPr>
                <w:b/>
                <w:sz w:val="24"/>
                <w:szCs w:val="24"/>
              </w:rPr>
            </w:pPr>
            <w:r>
              <w:rPr>
                <w:b/>
                <w:sz w:val="24"/>
                <w:szCs w:val="24"/>
              </w:rPr>
              <w:t>____________/_________________________</w:t>
            </w:r>
          </w:p>
        </w:tc>
        <w:tc>
          <w:tcPr>
            <w:tcW w:w="4785"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_______________/______________________</w:t>
            </w:r>
          </w:p>
        </w:tc>
      </w:tr>
    </w:tbl>
    <w:p>
      <w:pPr>
        <w:sectPr>
          <w:headerReference w:type="default" r:id="rId10"/>
          <w:headerReference w:type="first" r:id="rId11"/>
          <w:footerReference w:type="default" r:id="rId12"/>
          <w:footerReference w:type="first" r:id="rId13"/>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r>
        <w:br w:type="page"/>
      </w:r>
    </w:p>
    <w:p>
      <w:pPr>
        <w:pStyle w:val="Normal"/>
        <w:snapToGrid w:val="false"/>
        <w:spacing w:lineRule="auto" w:line="240"/>
        <w:ind w:firstLine="5103"/>
        <w:rPr>
          <w:sz w:val="22"/>
          <w:szCs w:val="22"/>
          <w:highlight w:val="lightGray"/>
        </w:rPr>
      </w:pPr>
      <w:bookmarkStart w:id="36" w:name="RANGE!A1%2525252525252525253AAG42"/>
      <w:bookmarkStart w:id="37" w:name="RANGE!A1%2525252525252525253AAG40"/>
      <w:bookmarkEnd w:id="36"/>
      <w:bookmarkEnd w:id="37"/>
      <w:r>
        <w:rPr>
          <w:sz w:val="22"/>
          <w:szCs w:val="22"/>
          <w:highlight w:val="lightGray"/>
        </w:rPr>
        <w:t>Приложение № 7</w:t>
      </w:r>
    </w:p>
    <w:p>
      <w:pPr>
        <w:pStyle w:val="Normal"/>
        <w:snapToGrid w:val="false"/>
        <w:spacing w:lineRule="auto" w:line="240"/>
        <w:ind w:firstLine="5103"/>
        <w:rPr>
          <w:sz w:val="22"/>
          <w:szCs w:val="22"/>
          <w:highlight w:val="lightGray"/>
        </w:rPr>
      </w:pPr>
      <w:r>
        <w:rPr>
          <w:sz w:val="22"/>
          <w:szCs w:val="22"/>
          <w:highlight w:val="lightGray"/>
        </w:rPr>
        <w:t>к Договору подряда</w:t>
      </w:r>
    </w:p>
    <w:p>
      <w:pPr>
        <w:pStyle w:val="Normal"/>
        <w:snapToGrid w:val="false"/>
        <w:spacing w:lineRule="auto" w:line="240"/>
        <w:ind w:firstLine="5103"/>
        <w:rPr>
          <w:sz w:val="22"/>
          <w:szCs w:val="22"/>
        </w:rPr>
      </w:pPr>
      <w:r>
        <w:rPr>
          <w:sz w:val="22"/>
          <w:szCs w:val="22"/>
          <w:highlight w:val="lightGray"/>
        </w:rPr>
        <w:t>от «____» __________ 20 _ г. № ____</w:t>
      </w:r>
    </w:p>
    <w:p>
      <w:pPr>
        <w:pStyle w:val="ListParagraph"/>
        <w:shd w:val="clear" w:color="auto" w:fill="FFFFFF"/>
        <w:ind w:left="0" w:hanging="0"/>
        <w:jc w:val="both"/>
        <w:rPr>
          <w:bCs/>
        </w:rPr>
      </w:pPr>
      <w:r>
        <w:rPr>
          <w:bCs/>
        </w:rPr>
      </w:r>
    </w:p>
    <w:p>
      <w:pPr>
        <w:pStyle w:val="ListParagraph"/>
        <w:shd w:val="clear" w:color="auto" w:fill="FFFFFF"/>
        <w:ind w:left="0" w:hanging="0"/>
        <w:jc w:val="both"/>
        <w:rPr>
          <w:bCs/>
        </w:rPr>
      </w:pPr>
      <w:r>
        <w:rPr>
          <w:bCs/>
        </w:rPr>
      </w:r>
    </w:p>
    <w:p>
      <w:pPr>
        <w:pStyle w:val="Normal"/>
        <w:spacing w:lineRule="auto" w:line="240"/>
        <w:jc w:val="center"/>
        <w:rPr>
          <w:b/>
          <w:sz w:val="24"/>
          <w:szCs w:val="24"/>
        </w:rPr>
      </w:pPr>
      <w:r>
        <w:rPr>
          <w:b/>
          <w:sz w:val="24"/>
          <w:szCs w:val="24"/>
        </w:rPr>
        <w:t>Критерии отбора Банков-Гарантов</w:t>
      </w:r>
    </w:p>
    <w:p>
      <w:pPr>
        <w:pStyle w:val="Normal"/>
        <w:tabs>
          <w:tab w:val="clear" w:pos="709"/>
          <w:tab w:val="left" w:pos="1134" w:leader="none"/>
        </w:tabs>
        <w:spacing w:lineRule="auto" w:line="240"/>
        <w:ind w:firstLine="709"/>
        <w:rPr>
          <w:sz w:val="24"/>
          <w:szCs w:val="24"/>
        </w:rPr>
      </w:pPr>
      <w:r>
        <w:rPr>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FootnoteReference"/>
          <w:sz w:val="24"/>
          <w:szCs w:val="24"/>
        </w:rPr>
        <w:footnoteReference w:id="5"/>
      </w:r>
      <w:r>
        <w:rPr>
          <w:sz w:val="24"/>
          <w:szCs w:val="24"/>
        </w:rPr>
        <w:t>, а также соответствовать следующим критериям:</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Reference"/>
          <w:sz w:val="24"/>
          <w:szCs w:val="24"/>
        </w:rPr>
        <w:footnoteReference w:id="6"/>
      </w:r>
      <w:r>
        <w:rPr>
          <w:sz w:val="24"/>
          <w:szCs w:val="24"/>
        </w:rPr>
        <w:t xml:space="preserve">. </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Reference"/>
          <w:sz w:val="24"/>
          <w:szCs w:val="24"/>
        </w:rPr>
        <w:footnoteReference w:id="7"/>
      </w:r>
      <w:r>
        <w:rPr>
          <w:sz w:val="24"/>
          <w:szCs w:val="24"/>
        </w:rPr>
        <w:t>.</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Не иметь просроченную задолженность перед Заказчиком и компаниями Группы РусГидро.</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r>
        <w:rPr>
          <w:rStyle w:val="FootnoteReference"/>
          <w:sz w:val="24"/>
          <w:szCs w:val="24"/>
        </w:rPr>
        <w:footnoteReference w:id="8"/>
      </w:r>
      <w:r>
        <w:rPr>
          <w:sz w:val="24"/>
          <w:szCs w:val="24"/>
        </w:rPr>
        <w:t>.</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Требования, установленные пунктами 2 – 4 настоящих Критериев, не распространяются на кредитные организации:</w:t>
      </w:r>
    </w:p>
    <w:p>
      <w:pPr>
        <w:pStyle w:val="Normal"/>
        <w:numPr>
          <w:ilvl w:val="1"/>
          <w:numId w:val="21"/>
        </w:numPr>
        <w:tabs>
          <w:tab w:val="clear" w:pos="709"/>
          <w:tab w:val="left" w:pos="1134" w:leader="none"/>
        </w:tabs>
        <w:spacing w:lineRule="auto" w:line="240"/>
        <w:ind w:left="0" w:firstLine="709"/>
        <w:rPr>
          <w:sz w:val="24"/>
          <w:szCs w:val="24"/>
        </w:rPr>
      </w:pPr>
      <w:r>
        <w:rPr>
          <w:sz w:val="24"/>
          <w:szCs w:val="24"/>
        </w:rPr>
        <w:t xml:space="preserve"> </w:t>
      </w:r>
      <w:r>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Normal"/>
        <w:numPr>
          <w:ilvl w:val="1"/>
          <w:numId w:val="21"/>
        </w:numPr>
        <w:tabs>
          <w:tab w:val="clear" w:pos="709"/>
          <w:tab w:val="left" w:pos="1134" w:leader="none"/>
        </w:tabs>
        <w:spacing w:lineRule="auto" w:line="240"/>
        <w:ind w:left="0" w:firstLine="709"/>
        <w:rPr>
          <w:sz w:val="24"/>
          <w:szCs w:val="24"/>
        </w:rPr>
      </w:pPr>
      <w:r>
        <w:rPr>
          <w:sz w:val="24"/>
          <w:szCs w:val="24"/>
        </w:rPr>
        <w:t xml:space="preserve"> </w:t>
      </w:r>
      <w:r>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pPr>
        <w:pStyle w:val="Normal"/>
        <w:numPr>
          <w:ilvl w:val="1"/>
          <w:numId w:val="21"/>
        </w:numPr>
        <w:tabs>
          <w:tab w:val="clear" w:pos="709"/>
          <w:tab w:val="left" w:pos="1134" w:leader="none"/>
        </w:tabs>
        <w:spacing w:lineRule="auto" w:line="240"/>
        <w:ind w:left="0" w:firstLine="709"/>
        <w:rPr>
          <w:sz w:val="24"/>
          <w:szCs w:val="24"/>
        </w:rPr>
      </w:pPr>
      <w:r>
        <w:rPr>
          <w:sz w:val="24"/>
          <w:szCs w:val="24"/>
        </w:rPr>
        <w:t xml:space="preserve"> </w:t>
      </w:r>
      <w:r>
        <w:rPr>
          <w:sz w:val="24"/>
          <w:szCs w:val="24"/>
        </w:rPr>
        <w:t>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Normal"/>
        <w:numPr>
          <w:ilvl w:val="1"/>
          <w:numId w:val="21"/>
        </w:numPr>
        <w:tabs>
          <w:tab w:val="clear" w:pos="709"/>
          <w:tab w:val="left" w:pos="1134" w:leader="none"/>
        </w:tabs>
        <w:spacing w:lineRule="auto" w:line="240"/>
        <w:ind w:left="0" w:firstLine="709"/>
        <w:rPr>
          <w:sz w:val="24"/>
          <w:szCs w:val="24"/>
        </w:rPr>
      </w:pPr>
      <w:r>
        <w:rPr>
          <w:sz w:val="24"/>
          <w:szCs w:val="24"/>
        </w:rPr>
        <w:t xml:space="preserve"> </w:t>
      </w:r>
      <w:r>
        <w:rPr>
          <w:sz w:val="24"/>
          <w:szCs w:val="24"/>
        </w:rPr>
        <w:t>ВЭБ.РФ.</w:t>
      </w:r>
    </w:p>
    <w:p>
      <w:pPr>
        <w:pStyle w:val="Normal"/>
        <w:numPr>
          <w:ilvl w:val="1"/>
          <w:numId w:val="20"/>
        </w:numPr>
        <w:tabs>
          <w:tab w:val="clear" w:pos="709"/>
          <w:tab w:val="left" w:pos="1134" w:leader="none"/>
        </w:tabs>
        <w:spacing w:lineRule="auto" w:line="240"/>
        <w:ind w:left="0" w:firstLine="710"/>
        <w:rPr>
          <w:sz w:val="24"/>
          <w:szCs w:val="24"/>
        </w:rPr>
      </w:pPr>
      <w:r>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Группой РусГидро, не должна превышать размер лимита риска, определяемого по формуле:</w:t>
      </w:r>
    </w:p>
    <w:p>
      <w:pPr>
        <w:pStyle w:val="Normal"/>
        <w:tabs>
          <w:tab w:val="clear" w:pos="709"/>
          <w:tab w:val="left" w:pos="1134" w:leader="none"/>
        </w:tabs>
        <w:spacing w:lineRule="auto" w:line="240"/>
        <w:ind w:firstLine="709"/>
        <w:jc w:val="center"/>
        <w:rPr>
          <w:sz w:val="24"/>
          <w:szCs w:val="24"/>
        </w:rPr>
      </w:pPr>
      <w:r>
        <w:rPr>
          <w:b/>
          <w:i/>
          <w:sz w:val="24"/>
          <w:szCs w:val="24"/>
        </w:rPr>
        <w:t>Lim</w:t>
      </w:r>
      <w:r>
        <w:rPr>
          <w:b/>
          <w:i/>
          <w:sz w:val="24"/>
          <w:szCs w:val="24"/>
          <w:vertAlign w:val="subscript"/>
        </w:rPr>
        <w:t>Ai</w:t>
      </w:r>
      <w:r>
        <w:rPr>
          <w:b/>
          <w:i/>
          <w:sz w:val="24"/>
          <w:szCs w:val="24"/>
        </w:rPr>
        <w:t xml:space="preserve">  = r</w:t>
      </w:r>
      <w:r>
        <w:rPr>
          <w:b/>
          <w:i/>
          <w:sz w:val="24"/>
          <w:szCs w:val="24"/>
          <w:vertAlign w:val="subscript"/>
        </w:rPr>
        <w:t>i</w:t>
      </w:r>
      <w:r>
        <w:rPr>
          <w:b/>
          <w:i/>
          <w:sz w:val="24"/>
          <w:szCs w:val="24"/>
        </w:rPr>
        <w:t xml:space="preserve"> × СK</w:t>
      </w:r>
      <w:r>
        <w:rPr>
          <w:b/>
          <w:i/>
          <w:sz w:val="24"/>
          <w:szCs w:val="24"/>
          <w:vertAlign w:val="subscript"/>
        </w:rPr>
        <w:t>i</w:t>
      </w:r>
      <w:r>
        <w:rPr>
          <w:sz w:val="24"/>
          <w:szCs w:val="24"/>
        </w:rPr>
        <w:t>, где</w:t>
      </w:r>
    </w:p>
    <w:tbl>
      <w:tblPr>
        <w:tblW w:w="9606"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817"/>
        <w:gridCol w:w="280"/>
        <w:gridCol w:w="8509"/>
      </w:tblGrid>
      <w:tr>
        <w:trPr>
          <w:trHeight w:val="426" w:hRule="atLeast"/>
        </w:trPr>
        <w:tc>
          <w:tcPr>
            <w:tcW w:w="817" w:type="dxa"/>
            <w:tcBorders/>
            <w:shd w:color="auto" w:fill="auto" w:val="clear"/>
          </w:tcPr>
          <w:p>
            <w:pPr>
              <w:pStyle w:val="Normal"/>
              <w:widowControl w:val="false"/>
              <w:spacing w:lineRule="auto" w:line="240"/>
              <w:ind w:right="-108" w:firstLine="567"/>
              <w:rPr>
                <w:color w:val="000000"/>
                <w:sz w:val="24"/>
                <w:szCs w:val="24"/>
              </w:rPr>
            </w:pPr>
            <w:r>
              <w:rPr>
                <w:b/>
                <w:i/>
                <w:color w:val="000000"/>
                <w:sz w:val="24"/>
                <w:szCs w:val="24"/>
              </w:rPr>
              <w:t>Lim</w:t>
            </w:r>
            <w:r>
              <w:rPr>
                <w:b/>
                <w:i/>
                <w:color w:val="000000"/>
                <w:sz w:val="24"/>
                <w:szCs w:val="24"/>
                <w:vertAlign w:val="subscript"/>
                <w:lang w:val="en-US"/>
              </w:rPr>
              <w:t xml:space="preserve">Ai </w:t>
            </w:r>
          </w:p>
        </w:tc>
        <w:tc>
          <w:tcPr>
            <w:tcW w:w="280" w:type="dxa"/>
            <w:tcBorders/>
            <w:shd w:color="auto" w:fill="auto" w:val="clear"/>
          </w:tcPr>
          <w:p>
            <w:pPr>
              <w:pStyle w:val="Normal"/>
              <w:widowControl w:val="false"/>
              <w:spacing w:lineRule="auto" w:line="240"/>
              <w:ind w:left="317" w:right="-108" w:hanging="317"/>
              <w:rPr>
                <w:color w:val="000000"/>
                <w:sz w:val="24"/>
                <w:szCs w:val="24"/>
              </w:rPr>
            </w:pPr>
            <w:r>
              <w:rPr>
                <w:sz w:val="24"/>
                <w:szCs w:val="24"/>
              </w:rPr>
              <w:t xml:space="preserve">-  </w:t>
            </w:r>
          </w:p>
        </w:tc>
        <w:tc>
          <w:tcPr>
            <w:tcW w:w="8509" w:type="dxa"/>
            <w:tcBorders/>
            <w:shd w:color="auto" w:fill="auto" w:val="clear"/>
          </w:tcPr>
          <w:p>
            <w:pPr>
              <w:pStyle w:val="Normal"/>
              <w:widowControl w:val="false"/>
              <w:spacing w:lineRule="auto" w:line="240"/>
              <w:ind w:left="-75" w:right="-108" w:firstLine="567"/>
              <w:rPr>
                <w:color w:val="000000"/>
                <w:sz w:val="24"/>
                <w:szCs w:val="24"/>
              </w:rPr>
            </w:pPr>
            <w:r>
              <w:rPr>
                <w:sz w:val="24"/>
                <w:szCs w:val="24"/>
              </w:rPr>
              <w:t>Лимит риска для i-ой кредитной организации</w:t>
            </w:r>
            <w:r>
              <w:rPr>
                <w:rStyle w:val="FootnoteReference"/>
                <w:sz w:val="24"/>
                <w:szCs w:val="24"/>
              </w:rPr>
              <w:footnoteReference w:id="9"/>
            </w:r>
            <w:r>
              <w:rPr>
                <w:sz w:val="24"/>
                <w:szCs w:val="24"/>
                <w:vertAlign w:val="superscript"/>
              </w:rPr>
              <w:t>.</w:t>
            </w:r>
            <w:r>
              <w:rPr>
                <w:sz w:val="24"/>
                <w:szCs w:val="24"/>
              </w:rPr>
              <w:t xml:space="preserve"> </w:t>
            </w:r>
          </w:p>
        </w:tc>
      </w:tr>
      <w:tr>
        <w:trPr>
          <w:trHeight w:val="280" w:hRule="atLeast"/>
        </w:trPr>
        <w:tc>
          <w:tcPr>
            <w:tcW w:w="817" w:type="dxa"/>
            <w:tcBorders/>
            <w:shd w:color="auto" w:fill="auto" w:val="clear"/>
          </w:tcPr>
          <w:p>
            <w:pPr>
              <w:pStyle w:val="Normal"/>
              <w:widowControl w:val="false"/>
              <w:spacing w:lineRule="auto" w:line="240"/>
              <w:ind w:right="-108" w:firstLine="567"/>
              <w:rPr>
                <w:b/>
                <w:i/>
                <w:i/>
                <w:color w:val="000000"/>
                <w:sz w:val="24"/>
                <w:szCs w:val="24"/>
                <w:vertAlign w:val="subscript"/>
              </w:rPr>
            </w:pPr>
            <w:r>
              <w:rPr>
                <w:b/>
                <w:i/>
                <w:color w:val="000000"/>
                <w:sz w:val="24"/>
                <w:szCs w:val="24"/>
              </w:rPr>
              <w:t>С</w:t>
            </w:r>
            <w:r>
              <w:rPr>
                <w:b/>
                <w:i/>
                <w:color w:val="000000"/>
                <w:sz w:val="24"/>
                <w:szCs w:val="24"/>
                <w:lang w:val="en-US"/>
              </w:rPr>
              <w:t>K</w:t>
            </w:r>
            <w:r>
              <w:rPr>
                <w:b/>
                <w:i/>
                <w:color w:val="000000"/>
                <w:sz w:val="24"/>
                <w:szCs w:val="24"/>
                <w:vertAlign w:val="subscript"/>
                <w:lang w:val="en-US"/>
              </w:rPr>
              <w:t>i</w:t>
            </w:r>
          </w:p>
          <w:p>
            <w:pPr>
              <w:pStyle w:val="Normal"/>
              <w:widowControl w:val="false"/>
              <w:spacing w:lineRule="auto" w:line="240"/>
              <w:ind w:right="-108" w:firstLine="567"/>
              <w:rPr>
                <w:color w:val="000000"/>
                <w:sz w:val="24"/>
                <w:szCs w:val="24"/>
              </w:rPr>
            </w:pPr>
            <w:r>
              <w:rPr>
                <w:color w:val="000000"/>
                <w:sz w:val="24"/>
                <w:szCs w:val="24"/>
              </w:rPr>
            </w:r>
          </w:p>
        </w:tc>
        <w:tc>
          <w:tcPr>
            <w:tcW w:w="280" w:type="dxa"/>
            <w:tcBorders/>
            <w:shd w:color="auto" w:fill="auto" w:val="clear"/>
          </w:tcPr>
          <w:p>
            <w:pPr>
              <w:pStyle w:val="Normal"/>
              <w:widowControl w:val="false"/>
              <w:spacing w:lineRule="auto" w:line="240"/>
              <w:ind w:right="-108" w:firstLine="567"/>
              <w:rPr>
                <w:color w:val="000000"/>
                <w:sz w:val="24"/>
                <w:szCs w:val="24"/>
              </w:rPr>
            </w:pPr>
            <w:r>
              <w:rPr>
                <w:sz w:val="24"/>
                <w:szCs w:val="24"/>
              </w:rPr>
              <w:t>-</w:t>
            </w:r>
            <w:r>
              <w:rPr>
                <w:color w:val="000000"/>
                <w:sz w:val="24"/>
                <w:szCs w:val="24"/>
              </w:rPr>
              <w:t xml:space="preserve">  </w:t>
            </w:r>
          </w:p>
        </w:tc>
        <w:tc>
          <w:tcPr>
            <w:tcW w:w="8509" w:type="dxa"/>
            <w:tcBorders/>
            <w:shd w:color="auto" w:fill="auto" w:val="clear"/>
          </w:tcPr>
          <w:p>
            <w:pPr>
              <w:pStyle w:val="Normal"/>
              <w:widowControl w:val="false"/>
              <w:spacing w:lineRule="auto" w:line="240"/>
              <w:ind w:left="-75" w:right="-108" w:firstLine="567"/>
              <w:rPr>
                <w:color w:val="000000"/>
                <w:sz w:val="24"/>
                <w:szCs w:val="24"/>
              </w:rPr>
            </w:pPr>
            <w:r>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4">
              <w:r>
                <w:rPr>
                  <w:sz w:val="24"/>
                  <w:szCs w:val="24"/>
                  <w:u w:val="single"/>
                </w:rPr>
                <w:t>www.cbr.ru</w:t>
              </w:r>
            </w:hyperlink>
            <w:r>
              <w:rPr>
                <w:sz w:val="24"/>
                <w:szCs w:val="24"/>
              </w:rPr>
              <w:t>) по строке 000 «Расчет собственных средств (капитала) («Базель III»)», код формы 0409123;</w:t>
            </w:r>
          </w:p>
        </w:tc>
      </w:tr>
      <w:tr>
        <w:trPr>
          <w:trHeight w:val="993" w:hRule="atLeast"/>
        </w:trPr>
        <w:tc>
          <w:tcPr>
            <w:tcW w:w="817" w:type="dxa"/>
            <w:tcBorders/>
          </w:tcPr>
          <w:p>
            <w:pPr>
              <w:pStyle w:val="Normal"/>
              <w:widowControl w:val="false"/>
              <w:spacing w:lineRule="auto" w:line="240"/>
              <w:ind w:right="-108" w:firstLine="567"/>
              <w:rPr>
                <w:b/>
                <w:i/>
                <w:i/>
                <w:color w:val="000000"/>
                <w:sz w:val="24"/>
                <w:szCs w:val="24"/>
              </w:rPr>
            </w:pPr>
            <w:r>
              <w:rPr>
                <w:b/>
                <w:i/>
                <w:color w:val="000000"/>
                <w:sz w:val="24"/>
                <w:szCs w:val="24"/>
              </w:rPr>
              <w:t>r</w:t>
            </w:r>
            <w:r>
              <w:rPr>
                <w:b/>
                <w:i/>
                <w:color w:val="000000"/>
                <w:sz w:val="24"/>
                <w:szCs w:val="24"/>
                <w:vertAlign w:val="subscript"/>
              </w:rPr>
              <w:t>i</w:t>
            </w:r>
          </w:p>
        </w:tc>
        <w:tc>
          <w:tcPr>
            <w:tcW w:w="280" w:type="dxa"/>
            <w:tcBorders/>
          </w:tcPr>
          <w:p>
            <w:pPr>
              <w:pStyle w:val="Normal"/>
              <w:widowControl w:val="false"/>
              <w:spacing w:lineRule="auto" w:line="240"/>
              <w:ind w:right="-108" w:firstLine="567"/>
              <w:rPr>
                <w:sz w:val="24"/>
                <w:szCs w:val="24"/>
              </w:rPr>
            </w:pPr>
            <w:r>
              <w:rPr>
                <w:sz w:val="24"/>
                <w:szCs w:val="24"/>
              </w:rPr>
              <w:t>-</w:t>
            </w:r>
          </w:p>
        </w:tc>
        <w:tc>
          <w:tcPr>
            <w:tcW w:w="8509" w:type="dxa"/>
            <w:tcBorders/>
          </w:tcPr>
          <w:p>
            <w:pPr>
              <w:pStyle w:val="Normal"/>
              <w:widowControl w:val="false"/>
              <w:tabs>
                <w:tab w:val="clear" w:pos="709"/>
                <w:tab w:val="left" w:pos="7130" w:leader="none"/>
              </w:tabs>
              <w:spacing w:lineRule="auto" w:line="240"/>
              <w:ind w:right="-108" w:firstLine="567"/>
              <w:rPr>
                <w:sz w:val="24"/>
                <w:szCs w:val="24"/>
              </w:rPr>
            </w:pPr>
            <w:r>
              <w:rPr>
                <w:sz w:val="24"/>
                <w:szCs w:val="24"/>
              </w:rPr>
              <w:t>рейтинговый коэффициент</w:t>
            </w:r>
            <w:r>
              <w:rPr>
                <w:rStyle w:val="FootnoteReference"/>
                <w:sz w:val="24"/>
                <w:szCs w:val="24"/>
              </w:rPr>
              <w:footnoteReference w:id="10"/>
            </w:r>
            <w:r>
              <w:rPr>
                <w:sz w:val="24"/>
                <w:szCs w:val="24"/>
              </w:rPr>
              <w:t xml:space="preserve"> для i-ой кредитной организации, равный:</w:t>
            </w:r>
          </w:p>
          <w:p>
            <w:pPr>
              <w:pStyle w:val="Normal"/>
              <w:widowControl w:val="false"/>
              <w:spacing w:lineRule="auto" w:line="240"/>
              <w:ind w:firstLine="492"/>
              <w:rPr>
                <w:sz w:val="24"/>
                <w:szCs w:val="24"/>
              </w:rPr>
            </w:pPr>
            <w:r>
              <w:rPr>
                <w:b/>
                <w:sz w:val="24"/>
                <w:szCs w:val="24"/>
              </w:rPr>
              <w:t>0,05</w:t>
            </w:r>
            <w:r>
              <w:rPr>
                <w:sz w:val="24"/>
                <w:szCs w:val="24"/>
              </w:rPr>
              <w:t xml:space="preserve"> - если i-ая кредитная организация имеет национальный рейтинг кредитоспособности не ниже уровня </w:t>
            </w:r>
            <w:r>
              <w:rPr>
                <w:b/>
                <w:sz w:val="24"/>
                <w:szCs w:val="24"/>
              </w:rPr>
              <w:t>«АА-»</w:t>
            </w:r>
            <w:r>
              <w:rPr>
                <w:sz w:val="24"/>
                <w:szCs w:val="24"/>
              </w:rPr>
              <w:t xml:space="preserve"> по классификации рейтингового агентства АКРА или не ниже уровня </w:t>
            </w:r>
            <w:r>
              <w:rPr>
                <w:b/>
                <w:sz w:val="24"/>
                <w:szCs w:val="24"/>
              </w:rPr>
              <w:t>«</w:t>
            </w:r>
            <w:r>
              <w:rPr>
                <w:b/>
                <w:sz w:val="24"/>
                <w:szCs w:val="24"/>
                <w:lang w:val="en-US"/>
              </w:rPr>
              <w:t>ru</w:t>
            </w:r>
            <w:r>
              <w:rPr>
                <w:b/>
                <w:sz w:val="24"/>
                <w:szCs w:val="24"/>
              </w:rPr>
              <w:t>А</w:t>
            </w:r>
            <w:r>
              <w:rPr>
                <w:b/>
                <w:sz w:val="24"/>
                <w:szCs w:val="24"/>
                <w:lang w:val="en-US"/>
              </w:rPr>
              <w:t>A</w:t>
            </w:r>
            <w:r>
              <w:rPr>
                <w:b/>
                <w:sz w:val="24"/>
                <w:szCs w:val="24"/>
              </w:rPr>
              <w:t>-»</w:t>
            </w:r>
            <w:r>
              <w:rPr>
                <w:sz w:val="24"/>
                <w:szCs w:val="24"/>
              </w:rPr>
              <w:t xml:space="preserve"> по классификации рейтингового агентства Эксперт РА;</w:t>
            </w:r>
          </w:p>
          <w:p>
            <w:pPr>
              <w:pStyle w:val="Normal"/>
              <w:widowControl w:val="false"/>
              <w:spacing w:lineRule="auto" w:line="240"/>
              <w:ind w:left="67" w:firstLine="425"/>
              <w:rPr>
                <w:sz w:val="24"/>
                <w:szCs w:val="24"/>
              </w:rPr>
            </w:pPr>
            <w:r>
              <w:rPr>
                <w:b/>
                <w:sz w:val="24"/>
                <w:szCs w:val="24"/>
              </w:rPr>
              <w:t>0,025</w:t>
            </w:r>
            <w:r>
              <w:rPr>
                <w:sz w:val="24"/>
                <w:szCs w:val="24"/>
              </w:rPr>
              <w:t xml:space="preserve"> - если i-ая кредитная организация имеет национальный рейтинг кредитоспособности не ниже уровня </w:t>
            </w:r>
            <w:r>
              <w:rPr>
                <w:b/>
                <w:sz w:val="24"/>
                <w:szCs w:val="24"/>
              </w:rPr>
              <w:t>«А-»</w:t>
            </w:r>
            <w:r>
              <w:rPr>
                <w:sz w:val="24"/>
                <w:szCs w:val="24"/>
              </w:rPr>
              <w:t xml:space="preserve"> по классификации рейтингового агентства АКРА или не ниже уровня </w:t>
            </w:r>
            <w:r>
              <w:rPr>
                <w:b/>
                <w:sz w:val="24"/>
                <w:szCs w:val="24"/>
              </w:rPr>
              <w:t>«ruA-»</w:t>
            </w:r>
            <w:r>
              <w:rPr>
                <w:sz w:val="24"/>
                <w:szCs w:val="24"/>
              </w:rPr>
              <w:t xml:space="preserve"> по классификации рейтингового агентства Эксперт РА;</w:t>
            </w:r>
          </w:p>
          <w:p>
            <w:pPr>
              <w:pStyle w:val="Normal"/>
              <w:widowControl w:val="false"/>
              <w:spacing w:lineRule="auto" w:line="240"/>
              <w:ind w:firstLine="492"/>
              <w:rPr>
                <w:sz w:val="24"/>
                <w:szCs w:val="24"/>
              </w:rPr>
            </w:pPr>
            <w:r>
              <w:rPr>
                <w:b/>
                <w:sz w:val="24"/>
                <w:szCs w:val="24"/>
              </w:rPr>
              <w:t>0,015</w:t>
            </w:r>
            <w:r>
              <w:rPr>
                <w:sz w:val="24"/>
                <w:szCs w:val="24"/>
              </w:rPr>
              <w:t xml:space="preserve"> - если i-ая кредитная организация имеет национальный рейтинг кредитоспособности не ниже уровня </w:t>
            </w:r>
            <w:r>
              <w:rPr>
                <w:b/>
                <w:sz w:val="24"/>
                <w:szCs w:val="24"/>
              </w:rPr>
              <w:t>«</w:t>
            </w:r>
            <w:r>
              <w:rPr>
                <w:b/>
                <w:sz w:val="24"/>
                <w:szCs w:val="24"/>
                <w:lang w:val="en-US"/>
              </w:rPr>
              <w:t>BB</w:t>
            </w:r>
            <w:r>
              <w:rPr>
                <w:b/>
                <w:sz w:val="24"/>
                <w:szCs w:val="24"/>
              </w:rPr>
              <w:t>В»</w:t>
            </w:r>
            <w:r>
              <w:rPr>
                <w:sz w:val="24"/>
                <w:szCs w:val="24"/>
              </w:rPr>
              <w:t xml:space="preserve"> по классификации рейтингового агентства АКРА или не ниже уровня «</w:t>
            </w:r>
            <w:r>
              <w:rPr>
                <w:sz w:val="24"/>
                <w:szCs w:val="24"/>
                <w:lang w:val="en-US"/>
              </w:rPr>
              <w:t>ruBB</w:t>
            </w:r>
            <w:r>
              <w:rPr>
                <w:sz w:val="24"/>
                <w:szCs w:val="24"/>
              </w:rPr>
              <w:t>В» по классификации рейтингового агентства Эксперт РА, а также находится в процессе финансового оздоровления (санации).</w:t>
            </w:r>
          </w:p>
        </w:tc>
      </w:tr>
    </w:tbl>
    <w:p>
      <w:pPr>
        <w:pStyle w:val="Normal"/>
        <w:spacing w:lineRule="auto" w:line="240"/>
        <w:ind w:hanging="0"/>
        <w:rPr>
          <w:b/>
          <w:sz w:val="24"/>
          <w:szCs w:val="24"/>
        </w:rPr>
      </w:pPr>
      <w:r>
        <w:rPr>
          <w:b/>
          <w:sz w:val="24"/>
          <w:szCs w:val="24"/>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2"/>
        <w:gridCol w:w="4994"/>
      </w:tblGrid>
      <w:tr>
        <w:trPr>
          <w:trHeight w:val="1380" w:hRule="atLeast"/>
        </w:trPr>
        <w:tc>
          <w:tcPr>
            <w:tcW w:w="4642" w:type="dxa"/>
            <w:tcBorders/>
            <w:shd w:color="auto" w:fill="auto" w:val="clear"/>
          </w:tcPr>
          <w:p>
            <w:pPr>
              <w:pStyle w:val="Normal"/>
              <w:widowControl w:val="false"/>
              <w:spacing w:lineRule="auto" w:line="240"/>
              <w:rPr>
                <w:b/>
                <w:sz w:val="24"/>
                <w:szCs w:val="24"/>
              </w:rPr>
            </w:pPr>
            <w:r>
              <w:rPr>
                <w:b/>
                <w:sz w:val="24"/>
                <w:szCs w:val="24"/>
              </w:rPr>
              <w:t>Заказчик: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 xml:space="preserve">_______________ / _______________ </w:t>
            </w:r>
          </w:p>
          <w:p>
            <w:pPr>
              <w:pStyle w:val="Normal"/>
              <w:widowControl w:val="false"/>
              <w:spacing w:lineRule="auto" w:line="240"/>
              <w:rPr>
                <w:b/>
                <w:sz w:val="24"/>
                <w:szCs w:val="24"/>
              </w:rPr>
            </w:pPr>
            <w:r>
              <w:rPr>
                <w:b/>
                <w:sz w:val="24"/>
                <w:szCs w:val="24"/>
              </w:rPr>
            </w:r>
          </w:p>
        </w:tc>
        <w:tc>
          <w:tcPr>
            <w:tcW w:w="4994" w:type="dxa"/>
            <w:tcBorders/>
            <w:shd w:color="auto" w:fill="auto" w:val="clear"/>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 xml:space="preserve">_______________ / _______________ </w:t>
            </w:r>
          </w:p>
          <w:p>
            <w:pPr>
              <w:pStyle w:val="Normal"/>
              <w:widowControl w:val="false"/>
              <w:spacing w:lineRule="auto" w:line="240"/>
              <w:rPr>
                <w:b/>
                <w:sz w:val="24"/>
                <w:szCs w:val="24"/>
              </w:rPr>
            </w:pPr>
            <w:r>
              <w:rPr>
                <w:b/>
                <w:sz w:val="24"/>
                <w:szCs w:val="24"/>
              </w:rPr>
            </w:r>
          </w:p>
        </w:tc>
      </w:tr>
    </w:tbl>
    <w:p>
      <w:pPr>
        <w:pStyle w:val="ListParagraph"/>
        <w:shd w:val="clear" w:color="auto" w:fill="FFFFFF"/>
        <w:ind w:left="0" w:hanging="0"/>
        <w:jc w:val="both"/>
        <w:rPr/>
      </w:pPr>
      <w:r>
        <w:rPr/>
      </w:r>
    </w:p>
    <w:sectPr>
      <w:headerReference w:type="default" r:id="rId15"/>
      <w:headerReference w:type="first" r:id="rId16"/>
      <w:footerReference w:type="default" r:id="rId17"/>
      <w:footerReference w:type="first" r:id="rId18"/>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30</w:t>
    </w:r>
    <w:r>
      <w:rPr>
        <w:sz w:val="22"/>
        <w:szCs w:val="22"/>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33</w:t>
    </w:r>
    <w:r>
      <w:rPr>
        <w:sz w:val="24"/>
        <w:szCs w:val="24"/>
      </w:rPr>
      <w:fldChar w:fldCharType="end"/>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t xml:space="preserve"> </w:t>
      </w:r>
      <w:r>
        <w:rPr/>
        <w:t>С учетом комментариев к пункту 2.3.7 Договора.</w:t>
      </w:r>
    </w:p>
  </w:footnote>
  <w:footnote w:id="3">
    <w:p>
      <w:pPr>
        <w:pStyle w:val="FootnoteText"/>
        <w:jc w:val="both"/>
        <w:rPr/>
      </w:pPr>
      <w:r>
        <w:rPr>
          <w:rStyle w:val="Style6"/>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p>
      <w:pPr>
        <w:pStyle w:val="FootnoteText"/>
        <w:rPr/>
      </w:pPr>
      <w:r>
        <w:rPr/>
      </w:r>
    </w:p>
  </w:footnote>
  <w:footnote w:id="4">
    <w:p>
      <w:pPr>
        <w:pStyle w:val="FootnoteText"/>
        <w:jc w:val="both"/>
        <w:rPr/>
      </w:pPr>
      <w:r>
        <w:rPr>
          <w:rStyle w:val="Style6"/>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5">
    <w:p>
      <w:pPr>
        <w:pStyle w:val="FootnoteText"/>
        <w:jc w:val="both"/>
        <w:rPr/>
      </w:pPr>
      <w:r>
        <w:rPr>
          <w:rStyle w:val="Style6"/>
        </w:rPr>
        <w:footnoteRef/>
      </w:r>
      <w:r>
        <w:rPr/>
        <w:t xml:space="preserve"> </w:t>
      </w:r>
      <w:r>
        <w:rPr/>
        <w:t>Актуальный Перечень Банков-Гарантов Группы РусГидро размещен на официальном сайте ПАО «РусГидро» http://zakupki.rushydro.ru/PublicContent/Section/6</w:t>
      </w:r>
    </w:p>
  </w:footnote>
  <w:footnote w:id="6">
    <w:p>
      <w:pPr>
        <w:pStyle w:val="FootnoteText"/>
        <w:jc w:val="both"/>
        <w:rPr/>
      </w:pPr>
      <w:r>
        <w:rPr>
          <w:rStyle w:val="Style6"/>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7">
    <w:p>
      <w:pPr>
        <w:pStyle w:val="FootnoteText"/>
        <w:jc w:val="both"/>
        <w:rPr/>
      </w:pPr>
      <w:r>
        <w:rPr>
          <w:rStyle w:val="Style6"/>
        </w:rPr>
        <w:footnoteRef/>
      </w:r>
      <w:r>
        <w:rPr/>
        <w:t xml:space="preserve"> </w:t>
      </w:r>
      <w:r>
        <w:rPr/>
        <w:t>Данное требование не применяется в отношении небанковских кредитных организаций.</w:t>
      </w:r>
    </w:p>
  </w:footnote>
  <w:footnote w:id="8">
    <w:p>
      <w:pPr>
        <w:pStyle w:val="FootnoteText"/>
        <w:jc w:val="both"/>
        <w:rPr/>
      </w:pPr>
      <w:r>
        <w:rPr>
          <w:rStyle w:val="Style6"/>
        </w:rPr>
        <w:footnoteRef/>
      </w:r>
      <w:r>
        <w:rPr/>
        <w:t xml:space="preserve"> </w:t>
      </w:r>
      <w:r>
        <w:rPr/>
        <w:t>При издании ПО организационно-распорядительного документа о ТФУ данный критерий может быть исключен.</w:t>
      </w:r>
    </w:p>
  </w:footnote>
  <w:footnote w:id="9">
    <w:p>
      <w:pPr>
        <w:pStyle w:val="FootnoteText"/>
        <w:jc w:val="both"/>
        <w:rPr/>
      </w:pPr>
      <w:r>
        <w:rPr>
          <w:rStyle w:val="Style6"/>
        </w:rPr>
        <w:footnoteRef/>
      </w:r>
      <w:r>
        <w:rPr/>
        <w:t xml:space="preserve"> </w:t>
      </w:r>
      <w:r>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10">
    <w:p>
      <w:pPr>
        <w:pStyle w:val="FootnoteText"/>
        <w:jc w:val="both"/>
        <w:rPr/>
      </w:pPr>
      <w:r>
        <w:rPr>
          <w:rStyle w:val="Style6"/>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9"/>
        <w:tab w:val="left" w:pos="3148" w:leader="none"/>
        <w:tab w:val="center" w:pos="4818" w:leader="none"/>
        <w:tab w:val="left" w:pos="6926" w:leader="none"/>
      </w:tabs>
      <w:spacing w:lineRule="auto" w:line="240"/>
      <w:ind w:hanging="0"/>
      <w:jc w:val="right"/>
      <w:rPr>
        <w:bCs/>
        <w:color w:val="000000"/>
        <w:sz w:val="20"/>
        <w:szCs w:val="20"/>
      </w:rPr>
    </w:pPr>
    <w:r>
      <w:rPr>
        <w:sz w:val="20"/>
        <w:szCs w:val="20"/>
      </w:rPr>
      <w:t>ТФД № 1.5.4.</w:t>
    </w:r>
  </w:p>
  <w:p>
    <w:pPr>
      <w:pStyle w:val="Normal"/>
      <w:spacing w:lineRule="auto" w:line="288"/>
      <w:jc w:val="right"/>
      <w:rPr>
        <w:sz w:val="20"/>
        <w:szCs w:val="20"/>
      </w:rPr>
    </w:pPr>
    <w:r>
      <w:rPr>
        <w:sz w:val="20"/>
        <w:szCs w:val="20"/>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rPr>
      <w:t>ТФД № 1.5.4.</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567" w:hanging="432"/>
      </w:pPr>
      <w:rPr>
        <w:u w:val="none"/>
        <w:b w:val="false"/>
      </w:rPr>
    </w:lvl>
    <w:lvl w:ilvl="2">
      <w:start w:val="1"/>
      <w:numFmt w:val="decimal"/>
      <w:lvlText w:val="%1.%2.%3."/>
      <w:lvlJc w:val="left"/>
      <w:pPr>
        <w:tabs>
          <w:tab w:val="num" w:pos="0"/>
        </w:tabs>
        <w:ind w:left="121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6"/>
      <w:numFmt w:val="decimal"/>
      <w:lvlText w:val="%1."/>
      <w:lvlJc w:val="left"/>
      <w:pPr>
        <w:tabs>
          <w:tab w:val="num" w:pos="0"/>
        </w:tabs>
        <w:ind w:left="2204" w:hanging="360"/>
      </w:pPr>
      <w:rPr>
        <w:b/>
      </w:rPr>
    </w:lvl>
    <w:lvl w:ilvl="1">
      <w:start w:val="1"/>
      <w:numFmt w:val="decimal"/>
      <w:lvlText w:val="%1.%2."/>
      <w:lvlJc w:val="left"/>
      <w:pPr>
        <w:tabs>
          <w:tab w:val="num" w:pos="0"/>
        </w:tabs>
        <w:ind w:left="1567" w:hanging="432"/>
      </w:pPr>
      <w:rPr>
        <w:u w:val="none"/>
        <w:b w:val="false"/>
      </w:rPr>
    </w:lvl>
    <w:lvl w:ilvl="2">
      <w:start w:val="1"/>
      <w:numFmt w:val="decimal"/>
      <w:lvlText w:val="%1.%2.%3."/>
      <w:lvlJc w:val="left"/>
      <w:pPr>
        <w:tabs>
          <w:tab w:val="num" w:pos="0"/>
        </w:tabs>
        <w:ind w:left="121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7"/>
      <w:numFmt w:val="decimal"/>
      <w:lvlText w:val="%1."/>
      <w:lvlJc w:val="left"/>
      <w:pPr>
        <w:tabs>
          <w:tab w:val="num" w:pos="0"/>
        </w:tabs>
        <w:ind w:left="2204" w:hanging="360"/>
      </w:pPr>
      <w:rPr>
        <w:b/>
      </w:rPr>
    </w:lvl>
    <w:lvl w:ilvl="1">
      <w:start w:val="1"/>
      <w:numFmt w:val="decimal"/>
      <w:lvlText w:val="%1.%2."/>
      <w:lvlJc w:val="left"/>
      <w:pPr>
        <w:tabs>
          <w:tab w:val="num" w:pos="0"/>
        </w:tabs>
        <w:ind w:left="1567" w:hanging="432"/>
      </w:pPr>
      <w:rPr>
        <w:u w:val="none"/>
        <w:b w:val="false"/>
      </w:rPr>
    </w:lvl>
    <w:lvl w:ilvl="2">
      <w:start w:val="1"/>
      <w:numFmt w:val="decimal"/>
      <w:lvlText w:val="%1.%2.%3."/>
      <w:lvlJc w:val="left"/>
      <w:pPr>
        <w:tabs>
          <w:tab w:val="num" w:pos="0"/>
        </w:tabs>
        <w:ind w:left="121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720" w:hanging="360"/>
      </w:pPr>
      <w:rPr/>
    </w:lvl>
    <w:lvl w:ilvl="1">
      <w:start w:val="1"/>
      <w:numFmt w:val="decimal"/>
      <w:lvlText w:val="%2."/>
      <w:lvlJc w:val="left"/>
      <w:pPr>
        <w:tabs>
          <w:tab w:val="num" w:pos="0"/>
        </w:tabs>
        <w:ind w:left="1430" w:hanging="720"/>
      </w:pPr>
      <w:rPr/>
    </w:lvl>
    <w:lvl w:ilvl="2">
      <w:start w:val="1"/>
      <w:numFmt w:val="decimal"/>
      <w:lvlText w:val="%1.%2.%3."/>
      <w:lvlJc w:val="left"/>
      <w:pPr>
        <w:tabs>
          <w:tab w:val="num" w:pos="0"/>
        </w:tabs>
        <w:ind w:left="1146" w:hanging="720"/>
      </w:pPr>
      <w:rPr>
        <w:b w:val="false"/>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520" w:hanging="2160"/>
      </w:pPr>
      <w:rPr/>
    </w:lvl>
  </w:abstractNum>
  <w:abstractNum w:abstractNumId="21">
    <w:lvl w:ilvl="0">
      <w:start w:val="9"/>
      <w:numFmt w:val="decimal"/>
      <w:lvlText w:val="%1."/>
      <w:lvlJc w:val="left"/>
      <w:pPr>
        <w:tabs>
          <w:tab w:val="num" w:pos="0"/>
        </w:tabs>
        <w:ind w:left="450" w:hanging="450"/>
      </w:pPr>
      <w:rPr/>
    </w:lvl>
    <w:lvl w:ilvl="1">
      <w:start w:val="1"/>
      <w:numFmt w:val="decimal"/>
      <w:lvlText w:val="%1.%2."/>
      <w:lvlJc w:val="left"/>
      <w:pPr>
        <w:tabs>
          <w:tab w:val="num" w:pos="0"/>
        </w:tabs>
        <w:ind w:left="2136" w:hanging="720"/>
      </w:pPr>
      <w:rPr/>
    </w:lvl>
    <w:lvl w:ilvl="2">
      <w:start w:val="1"/>
      <w:numFmt w:val="decimal"/>
      <w:lvlText w:val="%1.%2.%3."/>
      <w:lvlJc w:val="left"/>
      <w:pPr>
        <w:tabs>
          <w:tab w:val="num" w:pos="0"/>
        </w:tabs>
        <w:ind w:left="3552" w:hanging="720"/>
      </w:pPr>
      <w:rPr/>
    </w:lvl>
    <w:lvl w:ilvl="3">
      <w:start w:val="1"/>
      <w:numFmt w:val="decimal"/>
      <w:lvlText w:val="%1.%2.%3.%4."/>
      <w:lvlJc w:val="left"/>
      <w:pPr>
        <w:tabs>
          <w:tab w:val="num" w:pos="0"/>
        </w:tabs>
        <w:ind w:left="5328" w:hanging="1080"/>
      </w:pPr>
      <w:rPr/>
    </w:lvl>
    <w:lvl w:ilvl="4">
      <w:start w:val="1"/>
      <w:numFmt w:val="decimal"/>
      <w:lvlText w:val="%1.%2.%3.%4.%5."/>
      <w:lvlJc w:val="left"/>
      <w:pPr>
        <w:tabs>
          <w:tab w:val="num" w:pos="0"/>
        </w:tabs>
        <w:ind w:left="6744" w:hanging="1080"/>
      </w:pPr>
      <w:rPr/>
    </w:lvl>
    <w:lvl w:ilvl="5">
      <w:start w:val="1"/>
      <w:numFmt w:val="decimal"/>
      <w:lvlText w:val="%1.%2.%3.%4.%5.%6."/>
      <w:lvlJc w:val="left"/>
      <w:pPr>
        <w:tabs>
          <w:tab w:val="num" w:pos="0"/>
        </w:tabs>
        <w:ind w:left="8520" w:hanging="1440"/>
      </w:pPr>
      <w:rPr/>
    </w:lvl>
    <w:lvl w:ilvl="6">
      <w:start w:val="1"/>
      <w:numFmt w:val="decimal"/>
      <w:lvlText w:val="%1.%2.%3.%4.%5.%6.%7."/>
      <w:lvlJc w:val="left"/>
      <w:pPr>
        <w:tabs>
          <w:tab w:val="num" w:pos="0"/>
        </w:tabs>
        <w:ind w:left="10296" w:hanging="1800"/>
      </w:pPr>
      <w:rPr/>
    </w:lvl>
    <w:lvl w:ilvl="7">
      <w:start w:val="1"/>
      <w:numFmt w:val="decimal"/>
      <w:lvlText w:val="%1.%2.%3.%4.%5.%6.%7.%8."/>
      <w:lvlJc w:val="left"/>
      <w:pPr>
        <w:tabs>
          <w:tab w:val="num" w:pos="0"/>
        </w:tabs>
        <w:ind w:left="11712" w:hanging="1800"/>
      </w:pPr>
      <w:rPr/>
    </w:lvl>
    <w:lvl w:ilvl="8">
      <w:start w:val="1"/>
      <w:numFmt w:val="decimal"/>
      <w:lvlText w:val="%1.%2.%3.%4.%5.%6.%7.%8.%9."/>
      <w:lvlJc w:val="left"/>
      <w:pPr>
        <w:tabs>
          <w:tab w:val="num" w:pos="0"/>
        </w:tabs>
        <w:ind w:left="13488" w:hanging="2160"/>
      </w:pPr>
      <w:rPr/>
    </w:lvl>
  </w:abstractNum>
  <w:abstractNum w:abstractNumId="2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567" w:hanging="432"/>
      </w:pPr>
      <w:rPr>
        <w:u w:val="none"/>
        <w:b w:val="false"/>
      </w:rPr>
    </w:lvl>
    <w:lvl w:ilvl="2">
      <w:start w:val="1"/>
      <w:numFmt w:val="decimal"/>
      <w:lvlText w:val="%1.%2.%3."/>
      <w:lvlJc w:val="left"/>
      <w:pPr>
        <w:tabs>
          <w:tab w:val="num" w:pos="0"/>
        </w:tabs>
        <w:ind w:left="1214"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BxxD2rGoairFiiGo9won17LYFcmxkABcMffJeIHeuVNFQxsGGxHQw0+JWTclwFSaMY7R/ZLwsZ7SMzv8/I/1FQ==" w:salt="P3Aqlcrd2343yO0ZACij9g=="/>
  <w:zoom w:percent="99"/>
  <w:revisionView w:insDel="0" w:formatting="0"/>
  <w:embedSystemFonts/>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enforcement="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sid w:val="00d45657"/>
    <w:rPr>
      <w:vertAlign w:val="superscript"/>
    </w:rPr>
  </w:style>
  <w:style w:type="character" w:styleId="FootnoteReference">
    <w:name w:val="Footnote Reference"/>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uiPriority w:val="99"/>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link w:val="13"/>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Style16" w:customStyle="1">
    <w:name w:val="Абзац списка Знак"/>
    <w:link w:val="ListParagraph"/>
    <w:uiPriority w:val="34"/>
    <w:qFormat/>
    <w:locked/>
    <w:rsid w:val="00f07bb7"/>
    <w:rPr>
      <w:sz w:val="24"/>
      <w:szCs w:val="24"/>
    </w:rPr>
  </w:style>
  <w:style w:type="character" w:styleId="FollowedHyperlink">
    <w:name w:val="FollowedHyperlink"/>
    <w:rPr>
      <w:color w:val="800000"/>
      <w:u w:val="single"/>
    </w:rPr>
  </w:style>
  <w:style w:type="paragraph" w:styleId="Style17">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Arial Unicode MS" w:cs="Arial Unicode MS"/>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19" w:customStyle="1">
    <w:name w:val="Колонтитул"/>
    <w:basedOn w:val="Normal"/>
    <w:qFormat/>
    <w:pPr/>
    <w:rPr/>
  </w:style>
  <w:style w:type="paragraph" w:styleId="Header">
    <w:name w:val="Header"/>
    <w:basedOn w:val="Normal"/>
    <w:rsid w:val="004b090f"/>
    <w:pPr>
      <w:tabs>
        <w:tab w:val="clear" w:pos="709"/>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1"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rsid w:val="00617a62"/>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9"/>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9"/>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9"/>
    <w:uiPriority w:val="99"/>
    <w:qFormat/>
    <w:rsid w:val="00f50d64"/>
    <w:pPr/>
    <w:rPr>
      <w:b/>
      <w:bCs/>
    </w:rPr>
  </w:style>
  <w:style w:type="paragraph" w:styleId="Footer">
    <w:name w:val="Footer"/>
    <w:basedOn w:val="Normal"/>
    <w:link w:val="Style10"/>
    <w:uiPriority w:val="99"/>
    <w:rsid w:val="0043217c"/>
    <w:pPr>
      <w:tabs>
        <w:tab w:val="clear" w:pos="709"/>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link w:val="Style11"/>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9"/>
        <w:tab w:val="left" w:pos="920" w:leader="none"/>
      </w:tabs>
      <w:spacing w:lineRule="auto" w:line="240" w:before="240" w:after="240"/>
      <w:ind w:left="704" w:hanging="504"/>
      <w:jc w:val="left"/>
      <w:textAlignment w:val="baseline"/>
      <w:outlineLvl w:val="1"/>
    </w:pPr>
    <w:rPr>
      <w:sz w:val="24"/>
      <w:szCs w:val="20"/>
    </w:rPr>
  </w:style>
  <w:style w:type="paragraph" w:styleId="Caption111" w:customStyle="1">
    <w:name w:val="caption111"/>
    <w:basedOn w:val="Normal"/>
    <w:next w:val="Normal"/>
    <w:qFormat/>
    <w:rsid w:val="00ae674d"/>
    <w:pPr>
      <w:widowControl w:val="fals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9"/>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4"/>
    <w:uiPriority w:val="99"/>
    <w:semiHidden/>
    <w:unhideWhenUsed/>
    <w:rsid w:val="008c02d8"/>
    <w:pPr/>
    <w:rPr>
      <w:sz w:val="20"/>
      <w:szCs w:val="20"/>
      <w:lang w:val="x-none" w:eastAsia="x-none"/>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7">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hyperlink" Target="http://www.cbr.ru/" TargetMode="External"/><Relationship Id="rId15" Type="http://schemas.openxmlformats.org/officeDocument/2006/relationships/header" Target="header5.xml"/><Relationship Id="rId16" Type="http://schemas.openxmlformats.org/officeDocument/2006/relationships/header" Target="header6.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Relationship Id="rId25" Type="http://schemas.openxmlformats.org/officeDocument/2006/relationships/customXml" Target="../customXml/item2.xml"/><Relationship Id="rId26" Type="http://schemas.openxmlformats.org/officeDocument/2006/relationships/customXml" Target="../customXml/item3.xml"/><Relationship Id="rId27" Type="http://schemas.openxmlformats.org/officeDocument/2006/relationships/customXml" Target="../customXml/item4.xml"/><Relationship Id="rId28"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71553C-C4A8-47EB-A565-CAA287AF186D}">
  <ds:schemaRefs>
    <ds:schemaRef ds:uri="http://schemas.openxmlformats.org/officeDocument/2006/bibliography"/>
  </ds:schemaRefs>
</ds:datastoreItem>
</file>

<file path=customXml/itemProps5.xml><?xml version="1.0" encoding="utf-8"?>
<ds:datastoreItem xmlns:ds="http://schemas.openxmlformats.org/officeDocument/2006/customXml" ds:itemID="{5FCDFD8F-BAEF-4D7D-BAC0-C75AE736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Application>AlterOffice/3.4.0.9$Linux_X86_64 LibreOffice_project/b8daf9e823b1a5463a2f48435ddc2e8696e7d4fc</Application>
  <AppVersion>15.0000</AppVersion>
  <Pages>32</Pages>
  <Words>11214</Words>
  <Characters>80809</Characters>
  <CharactersWithSpaces>91629</CharactersWithSpaces>
  <Paragraphs>572</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2026-04-27T06:25:00Z</dcterms:created>
  <dc:creator>UK VoHEC</dc:creator>
  <dc:description/>
  <dc:language>ru-RU</dc:language>
  <cp:lastModifiedBy>svetlovanu@corp.gidroogk.com</cp:lastModifiedBy>
  <cp:lastPrinted>2017-12-12T14:34:00Z</cp:lastPrinted>
  <dcterms:modified xsi:type="dcterms:W3CDTF">2026-05-18T16:10:38Z</dcterms:modified>
  <cp:revision>11</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MarkAsFinal">
    <vt:bool>1</vt:bool>
  </property>
</Properties>
</file>